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7394" w14:textId="77777777" w:rsidR="00E22A9C" w:rsidRPr="00082785" w:rsidRDefault="00E22A9C" w:rsidP="00E22A9C">
      <w:pPr>
        <w:rPr>
          <w:b/>
          <w:sz w:val="44"/>
        </w:rPr>
      </w:pPr>
      <w:r w:rsidRPr="00082785">
        <w:rPr>
          <w:b/>
          <w:sz w:val="44"/>
        </w:rPr>
        <w:t>La mobilité dans Renaix et ses alentours : une opportunité unique de trouver une solution</w:t>
      </w:r>
    </w:p>
    <w:p w14:paraId="349AC949" w14:textId="77777777" w:rsidR="00E22A9C" w:rsidRPr="00082785" w:rsidRDefault="00E22A9C" w:rsidP="00E22A9C">
      <w:pPr>
        <w:rPr>
          <w:lang w:val="en-US"/>
        </w:rPr>
      </w:pPr>
    </w:p>
    <w:p w14:paraId="3128CB2A" w14:textId="77777777" w:rsidR="00E22A9C" w:rsidRDefault="00E22A9C" w:rsidP="00E22A9C">
      <w:pPr>
        <w:rPr>
          <w:b/>
        </w:rPr>
      </w:pPr>
      <w:r>
        <w:rPr>
          <w:b/>
        </w:rPr>
        <w:t>Renaix et ses alentours sont depuis des années confrontés à un problème de mobilité. La fameuse N60, qui traverse le cœur des Ardennes flamandes et relie Gand et le Hainaut, traverse la ville. Le trafic de fret passe sur Broeke, la Glorieuxlaan et la Ninovestraat. Et cette situation a un impact majeur sur la qualité de vie. Le principal défi qui nous attend est de créer un environnement agréable et sûr tout en assurant un passage fluide pour ceux qui traversent Renaix. Un Renaix meilleur, c’est maintenant ou jamais.</w:t>
      </w:r>
    </w:p>
    <w:p w14:paraId="0506D557" w14:textId="77777777" w:rsidR="00E22A9C" w:rsidRPr="00082785" w:rsidRDefault="00E22A9C" w:rsidP="00E22A9C">
      <w:pPr>
        <w:rPr>
          <w:b/>
          <w:lang w:val="en-US"/>
        </w:rPr>
      </w:pPr>
    </w:p>
    <w:p w14:paraId="72331E3A" w14:textId="77777777" w:rsidR="00E22A9C" w:rsidRPr="001648B7" w:rsidRDefault="00E22A9C" w:rsidP="00E22A9C">
      <w:pPr>
        <w:rPr>
          <w:b/>
          <w:i/>
        </w:rPr>
      </w:pPr>
      <w:r>
        <w:rPr>
          <w:b/>
          <w:i/>
        </w:rPr>
        <w:t>Que fait Rond Ronse exactement ?</w:t>
      </w:r>
    </w:p>
    <w:p w14:paraId="2E1B9D0B" w14:textId="77777777" w:rsidR="00E22A9C" w:rsidRPr="00082785" w:rsidRDefault="00E22A9C" w:rsidP="00E22A9C">
      <w:pPr>
        <w:rPr>
          <w:i/>
          <w:lang w:val="en-US"/>
        </w:rPr>
      </w:pPr>
    </w:p>
    <w:p w14:paraId="74648024" w14:textId="49074FDB" w:rsidR="005723C1" w:rsidRDefault="00E22A9C" w:rsidP="00E22A9C">
      <w:r>
        <w:t xml:space="preserve">Le </w:t>
      </w:r>
      <w:proofErr w:type="spellStart"/>
      <w:r>
        <w:t>Departement</w:t>
      </w:r>
      <w:proofErr w:type="spellEnd"/>
      <w:r>
        <w:t xml:space="preserve"> </w:t>
      </w:r>
      <w:proofErr w:type="spellStart"/>
      <w:r>
        <w:t>Omgeving</w:t>
      </w:r>
      <w:proofErr w:type="spellEnd"/>
      <w:r>
        <w:t xml:space="preserve"> et De Werkvennootschap souhaitent résoudre le problème de mobilité. Ils le font sous le nom « Rond Ronse », en collaboration avec des administration locales, des comités d’action, des organisations et des citoyens comme vous. Et nous aimerions souligner ce dernier point : votre avis importe également. Que voulons-nous réaliser ensemble ? Assurer un trafic de transit fluide afin que Renaix puisse à nouveau respirer. Pour ainsi créer une ville sûre et vivante, où les camions ne passent plus devant les écoles et où la place belle est faite aux piétons et aux cyclistes. </w:t>
      </w:r>
    </w:p>
    <w:p w14:paraId="4E94DA6A" w14:textId="77777777" w:rsidR="001648B7" w:rsidRPr="00082785" w:rsidRDefault="001648B7" w:rsidP="00E22A9C">
      <w:pPr>
        <w:rPr>
          <w:lang w:val="en-US"/>
        </w:rPr>
      </w:pPr>
    </w:p>
    <w:p w14:paraId="3F8BFFBB" w14:textId="77777777" w:rsidR="001648B7" w:rsidRPr="001648B7" w:rsidRDefault="001648B7" w:rsidP="001648B7">
      <w:pPr>
        <w:rPr>
          <w:b/>
          <w:i/>
        </w:rPr>
      </w:pPr>
      <w:r>
        <w:rPr>
          <w:b/>
          <w:i/>
        </w:rPr>
        <w:t>Meilleur passage et accessibilité plus fluide</w:t>
      </w:r>
    </w:p>
    <w:p w14:paraId="78DE7FFF" w14:textId="77777777" w:rsidR="001648B7" w:rsidRPr="00082785" w:rsidRDefault="001648B7" w:rsidP="001648B7">
      <w:pPr>
        <w:rPr>
          <w:lang w:val="en-US"/>
        </w:rPr>
      </w:pPr>
    </w:p>
    <w:p w14:paraId="0AE15C64" w14:textId="77777777" w:rsidR="001648B7" w:rsidRDefault="001648B7" w:rsidP="001648B7">
      <w:r>
        <w:t>L’année dernière, des dizaines de solutions possibles à la problématique de mobilité dans Renaix et ses alentours ont été passées en revue. Elles sont le fruit d’une étude de l’équipe « Rond Ronse », de réactions de citoyens et du processus de plan précédent. La solution choisie doit assurer une meilleure connexion nord-sud et une accessibilité plus fluide. Nous avons cherché une solution pour tenir le trafic de fret hors du centre, mais aussi une manière d’assurer une meilleure liaison cycliste entre Renaix et Oudenaarde.</w:t>
      </w:r>
    </w:p>
    <w:p w14:paraId="02A21A76" w14:textId="77777777" w:rsidR="001648B7" w:rsidRPr="00082785" w:rsidRDefault="001648B7" w:rsidP="001648B7">
      <w:pPr>
        <w:rPr>
          <w:lang w:val="en-US"/>
        </w:rPr>
      </w:pPr>
    </w:p>
    <w:p w14:paraId="1FDDC1D7" w14:textId="77777777" w:rsidR="001648B7" w:rsidRPr="001648B7" w:rsidRDefault="001648B7" w:rsidP="001648B7">
      <w:pPr>
        <w:rPr>
          <w:b/>
          <w:i/>
        </w:rPr>
      </w:pPr>
      <w:r>
        <w:rPr>
          <w:b/>
          <w:i/>
        </w:rPr>
        <w:t>Du nord au sud....</w:t>
      </w:r>
    </w:p>
    <w:p w14:paraId="19620597" w14:textId="77777777" w:rsidR="001648B7" w:rsidRPr="00082785" w:rsidRDefault="001648B7" w:rsidP="001648B7">
      <w:pPr>
        <w:rPr>
          <w:lang w:val="en-US"/>
        </w:rPr>
      </w:pPr>
    </w:p>
    <w:p w14:paraId="607D29FA" w14:textId="77777777" w:rsidR="001648B7" w:rsidRDefault="001648B7" w:rsidP="001648B7">
      <w:r>
        <w:t>Pour décharger le centre de la ville, nous allons dévier le trafic qui n’y a pas sa place. Nous avons ainsi 13 connexions nord-sud possibles qui conduisent le trafic autour de Renaix : oriental, central et occidental. Les alternatives occidentales passent à hauteur de Klijpe, les centrales dans les environs de la bande de réservation prévue dans les années 70 et les alternatives orientales suivent la ligne de chemin de fer.</w:t>
      </w:r>
    </w:p>
    <w:p w14:paraId="3CC03788" w14:textId="77777777" w:rsidR="001648B7" w:rsidRPr="00082785" w:rsidRDefault="001648B7" w:rsidP="001648B7"/>
    <w:p w14:paraId="351F42D6" w14:textId="77777777" w:rsidR="001648B7" w:rsidRPr="001648B7" w:rsidRDefault="001648B7" w:rsidP="001648B7">
      <w:pPr>
        <w:rPr>
          <w:b/>
          <w:i/>
        </w:rPr>
      </w:pPr>
      <w:r>
        <w:rPr>
          <w:b/>
          <w:i/>
        </w:rPr>
        <w:t>....Et d’est en ouest</w:t>
      </w:r>
    </w:p>
    <w:p w14:paraId="0B53CAD6" w14:textId="77777777" w:rsidR="001648B7" w:rsidRPr="00082785" w:rsidRDefault="001648B7" w:rsidP="001648B7">
      <w:pPr>
        <w:rPr>
          <w:lang w:val="en-US"/>
        </w:rPr>
      </w:pPr>
    </w:p>
    <w:p w14:paraId="289924F9" w14:textId="62F8C779" w:rsidR="001648B7" w:rsidRDefault="001648B7" w:rsidP="001648B7">
      <w:r>
        <w:t>Nous cherchons également des solutions pour conduire le trafic des différentes voies d’accès vers la N60 et rendre les terrains industriels plus facilement accessibles. C’est la raison pour laquelle Rond Ronse étudie l’axe est-ouest, soit sous la forme d’une déviation au sud de la ville, soit le long de la ligne de chemin de fer et de la Ommegangstraat au nord-est de Renaix.</w:t>
      </w:r>
    </w:p>
    <w:p w14:paraId="7D094FEF" w14:textId="77777777" w:rsidR="000F67F1" w:rsidRDefault="000F67F1" w:rsidP="001648B7"/>
    <w:p w14:paraId="71D161F2" w14:textId="08A76AF1" w:rsidR="000F67F1" w:rsidRDefault="000F67F1" w:rsidP="001648B7"/>
    <w:tbl>
      <w:tblPr>
        <w:tblStyle w:val="Tabelraster"/>
        <w:tblW w:w="0" w:type="auto"/>
        <w:tblLook w:val="04A0" w:firstRow="1" w:lastRow="0" w:firstColumn="1" w:lastColumn="0" w:noHBand="0" w:noVBand="1"/>
      </w:tblPr>
      <w:tblGrid>
        <w:gridCol w:w="9056"/>
      </w:tblGrid>
      <w:tr w:rsidR="000F67F1" w14:paraId="721B152B" w14:textId="77777777" w:rsidTr="000F67F1">
        <w:tc>
          <w:tcPr>
            <w:tcW w:w="9056" w:type="dxa"/>
          </w:tcPr>
          <w:p w14:paraId="47AEAAF3" w14:textId="77777777" w:rsidR="000F67F1" w:rsidRPr="001648B7" w:rsidRDefault="000F67F1" w:rsidP="000F67F1">
            <w:pPr>
              <w:rPr>
                <w:b/>
                <w:i/>
              </w:rPr>
            </w:pPr>
            <w:r>
              <w:rPr>
                <w:b/>
                <w:i/>
              </w:rPr>
              <w:lastRenderedPageBreak/>
              <w:t>Zoom sur les solutions possibles</w:t>
            </w:r>
          </w:p>
          <w:p w14:paraId="12E0F99B" w14:textId="77777777" w:rsidR="000F67F1" w:rsidRPr="00082785" w:rsidRDefault="000F67F1" w:rsidP="000F67F1">
            <w:pPr>
              <w:rPr>
                <w:lang w:val="en-US"/>
              </w:rPr>
            </w:pPr>
          </w:p>
          <w:p w14:paraId="5015DF0F" w14:textId="00796CB1" w:rsidR="000F67F1" w:rsidRDefault="000F67F1" w:rsidP="001648B7">
            <w:r>
              <w:t>Cette année, nous allons étudier les alternatives restantes dans une prochaine série de recherches. Vous en apprendrez davantage en page 4. Les cartes détaillées des alternatives restantes sont disponibles sur www.RondRonse.be/mobiliteit.</w:t>
            </w:r>
          </w:p>
        </w:tc>
      </w:tr>
    </w:tbl>
    <w:p w14:paraId="19BE53EE" w14:textId="4D4B7853" w:rsidR="000F67F1" w:rsidRDefault="000F67F1" w:rsidP="001648B7"/>
    <w:tbl>
      <w:tblPr>
        <w:tblStyle w:val="Tabelraster"/>
        <w:tblW w:w="0" w:type="auto"/>
        <w:tblLook w:val="04A0" w:firstRow="1" w:lastRow="0" w:firstColumn="1" w:lastColumn="0" w:noHBand="0" w:noVBand="1"/>
      </w:tblPr>
      <w:tblGrid>
        <w:gridCol w:w="9056"/>
      </w:tblGrid>
      <w:tr w:rsidR="000F67F1" w14:paraId="25246AFB" w14:textId="77777777" w:rsidTr="000F67F1">
        <w:tc>
          <w:tcPr>
            <w:tcW w:w="9056" w:type="dxa"/>
          </w:tcPr>
          <w:p w14:paraId="25897399" w14:textId="71322B36" w:rsidR="000F67F1" w:rsidRDefault="000F67F1" w:rsidP="001648B7">
            <w:r>
              <w:t>Nous avons regroupé toutes les études sur ces alternatives de mobilité dans une deuxième version de la note de cadrage. Vous la trouverez sur</w:t>
            </w:r>
            <w:r>
              <w:t xml:space="preserve"> </w:t>
            </w:r>
            <w:r>
              <w:t>www.RondRonse.be/scopingnota. Vous voulez donner votre avis à ce propos</w:t>
            </w:r>
            <w:r>
              <w:t> </w:t>
            </w:r>
            <w:r>
              <w:t>? Vous avez la possibilité de le faire jusqu’au 12 mars inclus. Découvrez via ce même lien comment faire.</w:t>
            </w:r>
          </w:p>
        </w:tc>
      </w:tr>
    </w:tbl>
    <w:p w14:paraId="6353E091" w14:textId="77777777" w:rsidR="000F67F1" w:rsidRPr="00E22A9C" w:rsidRDefault="000F67F1" w:rsidP="001648B7"/>
    <w:p w14:paraId="162C24E6" w14:textId="77777777" w:rsidR="001648B7" w:rsidRPr="000F67F1" w:rsidRDefault="001648B7" w:rsidP="001648B7">
      <w:pPr>
        <w:pBdr>
          <w:bottom w:val="single" w:sz="6" w:space="1" w:color="auto"/>
        </w:pBdr>
        <w:rPr>
          <w:lang w:val="en-US"/>
        </w:rPr>
      </w:pPr>
    </w:p>
    <w:p w14:paraId="79FFBCBE" w14:textId="77777777" w:rsidR="000F67F1" w:rsidRPr="00082785" w:rsidRDefault="000F67F1" w:rsidP="001648B7">
      <w:pPr>
        <w:rPr>
          <w:lang w:val="en-US"/>
        </w:rPr>
      </w:pPr>
    </w:p>
    <w:p w14:paraId="1CEA1AA0" w14:textId="77777777" w:rsidR="00D22F7A" w:rsidRPr="00082785" w:rsidRDefault="00D22F7A" w:rsidP="001648B7">
      <w:pPr>
        <w:rPr>
          <w:lang w:val="en-US"/>
        </w:rPr>
      </w:pPr>
    </w:p>
    <w:p w14:paraId="5C0C1EED" w14:textId="77777777" w:rsidR="00D22F7A" w:rsidRPr="00082785" w:rsidRDefault="00D22F7A" w:rsidP="001648B7">
      <w:pPr>
        <w:rPr>
          <w:lang w:val="en-US"/>
        </w:rPr>
      </w:pPr>
    </w:p>
    <w:tbl>
      <w:tblPr>
        <w:tblStyle w:val="Tabelraster"/>
        <w:tblW w:w="0" w:type="auto"/>
        <w:tblLook w:val="04A0" w:firstRow="1" w:lastRow="0" w:firstColumn="1" w:lastColumn="0" w:noHBand="0" w:noVBand="1"/>
      </w:tblPr>
      <w:tblGrid>
        <w:gridCol w:w="2547"/>
        <w:gridCol w:w="2693"/>
        <w:gridCol w:w="3816"/>
      </w:tblGrid>
      <w:tr w:rsidR="00D22F7A" w14:paraId="415957C9" w14:textId="77777777" w:rsidTr="00AD54B3">
        <w:tc>
          <w:tcPr>
            <w:tcW w:w="9056" w:type="dxa"/>
            <w:gridSpan w:val="3"/>
          </w:tcPr>
          <w:p w14:paraId="580B49C8" w14:textId="77777777" w:rsidR="00D22F7A" w:rsidRPr="000F24BB" w:rsidRDefault="00D22F7A" w:rsidP="00D22F7A">
            <w:pPr>
              <w:rPr>
                <w:b/>
              </w:rPr>
            </w:pPr>
            <w:r>
              <w:rPr>
                <w:b/>
              </w:rPr>
              <w:t>Si une nouvelle connexion était aménagée...</w:t>
            </w:r>
          </w:p>
          <w:p w14:paraId="441A55C6" w14:textId="77777777" w:rsidR="00D22F7A" w:rsidRPr="00082785" w:rsidRDefault="00D22F7A" w:rsidP="00D22F7A">
            <w:pPr>
              <w:rPr>
                <w:lang w:val="en-US"/>
              </w:rPr>
            </w:pPr>
          </w:p>
        </w:tc>
      </w:tr>
      <w:tr w:rsidR="00D22F7A" w14:paraId="7447FB2E" w14:textId="77777777" w:rsidTr="000F67F1">
        <w:tc>
          <w:tcPr>
            <w:tcW w:w="2547" w:type="dxa"/>
          </w:tcPr>
          <w:p w14:paraId="51F67CE5" w14:textId="049E41CF" w:rsidR="00D22F7A" w:rsidRDefault="00D22F7A" w:rsidP="001648B7">
            <w:r>
              <w:t>On arriverait à réduire de</w:t>
            </w:r>
            <w:r w:rsidR="000F67F1">
              <w:t xml:space="preserve"> </w:t>
            </w:r>
            <w:r>
              <w:t>60 % en moyenne le nombre de camions</w:t>
            </w:r>
            <w:r w:rsidR="000F67F1">
              <w:t xml:space="preserve"> </w:t>
            </w:r>
            <w:r>
              <w:t>qui traversent le centre.</w:t>
            </w:r>
          </w:p>
        </w:tc>
        <w:tc>
          <w:tcPr>
            <w:tcW w:w="2693" w:type="dxa"/>
          </w:tcPr>
          <w:p w14:paraId="539A8018" w14:textId="7889D242" w:rsidR="00D22F7A" w:rsidRPr="00D22F7A" w:rsidRDefault="00D22F7A" w:rsidP="00D22F7A">
            <w:r>
              <w:t>On réduirait, en heure de pointe, de</w:t>
            </w:r>
            <w:r w:rsidR="000F67F1">
              <w:t xml:space="preserve"> </w:t>
            </w:r>
            <w:r>
              <w:t>4 000 km en moyenne la distance parcourue par des voitures dans le centre.</w:t>
            </w:r>
          </w:p>
          <w:p w14:paraId="693102BD" w14:textId="77777777" w:rsidR="00D22F7A" w:rsidRDefault="00D22F7A" w:rsidP="001648B7">
            <w:pPr>
              <w:rPr>
                <w:lang w:val="nl-NL"/>
              </w:rPr>
            </w:pPr>
          </w:p>
        </w:tc>
        <w:tc>
          <w:tcPr>
            <w:tcW w:w="3816" w:type="dxa"/>
          </w:tcPr>
          <w:p w14:paraId="09E25C32" w14:textId="02C17E54" w:rsidR="00D22F7A" w:rsidRPr="001648B7" w:rsidRDefault="00D22F7A" w:rsidP="00D22F7A">
            <w:r>
              <w:t>Cela réduirait le trafic urbain et permettrait de réaménager les</w:t>
            </w:r>
            <w:r w:rsidR="000F67F1">
              <w:t xml:space="preserve"> </w:t>
            </w:r>
            <w:r>
              <w:t>voiries existantes, en pensant également aux cyclistes, et en</w:t>
            </w:r>
            <w:r w:rsidR="000F67F1">
              <w:t xml:space="preserve"> </w:t>
            </w:r>
            <w:r>
              <w:t>créant un espace public de meilleure qualité.</w:t>
            </w:r>
          </w:p>
          <w:p w14:paraId="4BF79626" w14:textId="77777777" w:rsidR="00D22F7A" w:rsidRDefault="00D22F7A" w:rsidP="001648B7">
            <w:pPr>
              <w:rPr>
                <w:lang w:val="nl-NL"/>
              </w:rPr>
            </w:pPr>
          </w:p>
        </w:tc>
      </w:tr>
    </w:tbl>
    <w:p w14:paraId="087C0994" w14:textId="77777777" w:rsidR="00D22F7A" w:rsidRDefault="00D22F7A" w:rsidP="001648B7">
      <w:pPr>
        <w:rPr>
          <w:lang w:val="nl-NL"/>
        </w:rPr>
      </w:pPr>
    </w:p>
    <w:tbl>
      <w:tblPr>
        <w:tblStyle w:val="Tabelraster"/>
        <w:tblW w:w="0" w:type="auto"/>
        <w:tblLook w:val="04A0" w:firstRow="1" w:lastRow="0" w:firstColumn="1" w:lastColumn="0" w:noHBand="0" w:noVBand="1"/>
      </w:tblPr>
      <w:tblGrid>
        <w:gridCol w:w="4528"/>
        <w:gridCol w:w="4528"/>
      </w:tblGrid>
      <w:tr w:rsidR="000F24BB" w14:paraId="79299D14" w14:textId="77777777" w:rsidTr="00555E5E">
        <w:tc>
          <w:tcPr>
            <w:tcW w:w="9056" w:type="dxa"/>
            <w:gridSpan w:val="2"/>
          </w:tcPr>
          <w:p w14:paraId="19881B9B" w14:textId="77777777" w:rsidR="000F24BB" w:rsidRPr="000F24BB" w:rsidRDefault="000F24BB" w:rsidP="000F24BB">
            <w:pPr>
              <w:rPr>
                <w:b/>
              </w:rPr>
            </w:pPr>
            <w:r>
              <w:rPr>
                <w:b/>
              </w:rPr>
              <w:t>Quelques points de départ pour la nouvelle connexion</w:t>
            </w:r>
          </w:p>
          <w:p w14:paraId="1597BC90" w14:textId="77777777" w:rsidR="000F24BB" w:rsidRPr="00082785" w:rsidRDefault="000F24BB" w:rsidP="001648B7">
            <w:pPr>
              <w:rPr>
                <w:lang w:val="en-US"/>
              </w:rPr>
            </w:pPr>
          </w:p>
        </w:tc>
      </w:tr>
      <w:tr w:rsidR="000F24BB" w14:paraId="343758DD" w14:textId="77777777" w:rsidTr="000F24BB">
        <w:tc>
          <w:tcPr>
            <w:tcW w:w="4528" w:type="dxa"/>
          </w:tcPr>
          <w:p w14:paraId="4C7BEE05" w14:textId="77777777" w:rsidR="000F24BB" w:rsidRPr="000F24BB" w:rsidRDefault="000F24BB" w:rsidP="000F24BB">
            <w:r>
              <w:t>Pour un trafic plus fluide et plus sûr : pas d’allées directes des habitations vers la nouvelle voie de communication.</w:t>
            </w:r>
          </w:p>
          <w:p w14:paraId="49670311" w14:textId="77777777" w:rsidR="000F24BB" w:rsidRDefault="000F24BB" w:rsidP="001648B7">
            <w:pPr>
              <w:rPr>
                <w:lang w:val="nl-NL"/>
              </w:rPr>
            </w:pPr>
          </w:p>
        </w:tc>
        <w:tc>
          <w:tcPr>
            <w:tcW w:w="4528" w:type="dxa"/>
          </w:tcPr>
          <w:p w14:paraId="0FED876F" w14:textId="77777777" w:rsidR="000F24BB" w:rsidRPr="000F24BB" w:rsidRDefault="000F24BB" w:rsidP="000F24BB">
            <w:r>
              <w:t>Des pistes cyclables séparées de la route :</w:t>
            </w:r>
          </w:p>
          <w:p w14:paraId="26716227" w14:textId="77777777" w:rsidR="000F24BB" w:rsidRPr="000F24BB" w:rsidRDefault="000F24BB" w:rsidP="000F24BB">
            <w:r>
              <w:t>plus sûres et plus calmes.</w:t>
            </w:r>
          </w:p>
          <w:p w14:paraId="66CF27D1" w14:textId="77777777" w:rsidR="000F24BB" w:rsidRPr="00082785" w:rsidRDefault="000F24BB" w:rsidP="001648B7">
            <w:pPr>
              <w:rPr>
                <w:lang w:val="en-US"/>
              </w:rPr>
            </w:pPr>
          </w:p>
        </w:tc>
      </w:tr>
      <w:tr w:rsidR="000F24BB" w14:paraId="59828F0B" w14:textId="77777777" w:rsidTr="000F24BB">
        <w:tc>
          <w:tcPr>
            <w:tcW w:w="4528" w:type="dxa"/>
          </w:tcPr>
          <w:p w14:paraId="4A58EB41" w14:textId="77777777" w:rsidR="000F24BB" w:rsidRPr="000F24BB" w:rsidRDefault="000F24BB" w:rsidP="000F24BB">
            <w:r>
              <w:t>Les croisements avec feux de circulation orientent le trafic et prennent moins de place.</w:t>
            </w:r>
          </w:p>
        </w:tc>
        <w:tc>
          <w:tcPr>
            <w:tcW w:w="4528" w:type="dxa"/>
          </w:tcPr>
          <w:p w14:paraId="5045F5B4" w14:textId="77777777" w:rsidR="000F24BB" w:rsidRPr="000F24BB" w:rsidRDefault="000F24BB" w:rsidP="000F24BB">
            <w:r>
              <w:t>Une voie à deux bandes, avec une bande par sens. Vitesse autorisée : 70 km/h.</w:t>
            </w:r>
          </w:p>
          <w:p w14:paraId="26EFD31C" w14:textId="77777777" w:rsidR="000F24BB" w:rsidRPr="000F24BB" w:rsidRDefault="000F24BB" w:rsidP="000F24BB">
            <w:pPr>
              <w:rPr>
                <w:lang w:val="nl-NL"/>
              </w:rPr>
            </w:pPr>
          </w:p>
        </w:tc>
      </w:tr>
    </w:tbl>
    <w:p w14:paraId="00B689D8" w14:textId="68E6F629" w:rsidR="000F24BB" w:rsidRDefault="000F24BB" w:rsidP="000F24BB">
      <w:pPr>
        <w:pBdr>
          <w:bottom w:val="single" w:sz="6" w:space="1" w:color="auto"/>
        </w:pBdr>
        <w:rPr>
          <w:lang w:val="nl-NL"/>
        </w:rPr>
      </w:pPr>
    </w:p>
    <w:p w14:paraId="7F7E7276" w14:textId="77777777" w:rsidR="00295740" w:rsidRDefault="00295740" w:rsidP="000F24BB">
      <w:pPr>
        <w:pBdr>
          <w:bottom w:val="single" w:sz="6" w:space="1" w:color="auto"/>
        </w:pBdr>
        <w:rPr>
          <w:lang w:val="nl-NL"/>
        </w:rPr>
      </w:pPr>
    </w:p>
    <w:p w14:paraId="75D2C5B5" w14:textId="5239F608" w:rsidR="000F24BB" w:rsidRDefault="000F24BB">
      <w:r>
        <w:br w:type="page"/>
      </w:r>
    </w:p>
    <w:p w14:paraId="31F7B155" w14:textId="77777777" w:rsidR="000F24BB" w:rsidRPr="00783992" w:rsidRDefault="00783992" w:rsidP="000F24BB">
      <w:pPr>
        <w:rPr>
          <w:b/>
          <w:sz w:val="32"/>
        </w:rPr>
      </w:pPr>
      <w:r>
        <w:rPr>
          <w:b/>
          <w:sz w:val="32"/>
        </w:rPr>
        <w:lastRenderedPageBreak/>
        <w:t>Période de participation et étapes suivantes du processus</w:t>
      </w:r>
    </w:p>
    <w:p w14:paraId="065AE392" w14:textId="77777777" w:rsidR="00783992" w:rsidRPr="00082785" w:rsidRDefault="00783992" w:rsidP="000F24BB">
      <w:pPr>
        <w:rPr>
          <w:lang w:val="en-US"/>
        </w:rPr>
      </w:pPr>
    </w:p>
    <w:p w14:paraId="67D91BC6" w14:textId="77777777" w:rsidR="00783992" w:rsidRDefault="00783992" w:rsidP="00783992">
      <w:pPr>
        <w:rPr>
          <w:b/>
        </w:rPr>
      </w:pPr>
      <w:r>
        <w:rPr>
          <w:b/>
        </w:rPr>
        <w:t>Une nouvelle période de participation a démarré le 12 janvier. Jusqu’au 12 mars inclus, vous pouvez partager vos points de vue et idées à propos des alternatives restantes et des plans pour améliorer le paysage et la nature.</w:t>
      </w:r>
    </w:p>
    <w:p w14:paraId="0F0B5C91" w14:textId="77777777" w:rsidR="00783992" w:rsidRPr="00082785" w:rsidRDefault="00783992" w:rsidP="00783992">
      <w:pPr>
        <w:rPr>
          <w:b/>
          <w:lang w:val="en-US"/>
        </w:rPr>
      </w:pPr>
    </w:p>
    <w:p w14:paraId="41EACDCA" w14:textId="77777777" w:rsidR="00783992" w:rsidRDefault="00783992" w:rsidP="00783992">
      <w:pPr>
        <w:rPr>
          <w:b/>
          <w:i/>
        </w:rPr>
      </w:pPr>
      <w:r>
        <w:rPr>
          <w:b/>
          <w:i/>
        </w:rPr>
        <w:t>D’abord votre participation....</w:t>
      </w:r>
    </w:p>
    <w:p w14:paraId="67E5912D" w14:textId="77777777" w:rsidR="00783992" w:rsidRDefault="00783992" w:rsidP="00783992">
      <w:pPr>
        <w:rPr>
          <w:b/>
          <w:i/>
          <w:lang w:val="nl-NL"/>
        </w:rPr>
      </w:pPr>
    </w:p>
    <w:tbl>
      <w:tblPr>
        <w:tblStyle w:val="Tabelraster"/>
        <w:tblW w:w="0" w:type="auto"/>
        <w:tblLook w:val="04A0" w:firstRow="1" w:lastRow="0" w:firstColumn="1" w:lastColumn="0" w:noHBand="0" w:noVBand="1"/>
      </w:tblPr>
      <w:tblGrid>
        <w:gridCol w:w="9056"/>
      </w:tblGrid>
      <w:tr w:rsidR="00783992" w14:paraId="6E1E99AD" w14:textId="77777777" w:rsidTr="00783992">
        <w:tc>
          <w:tcPr>
            <w:tcW w:w="9056" w:type="dxa"/>
          </w:tcPr>
          <w:p w14:paraId="712B9675" w14:textId="01D43292" w:rsidR="00783992" w:rsidRPr="00783992" w:rsidRDefault="00783992" w:rsidP="00783992">
            <w:r>
              <w:t>La deuxième version de la note de cadrage est prête. Et nous aimerions connaître votre avis. Vous trouverez</w:t>
            </w:r>
            <w:r w:rsidR="00295740">
              <w:t xml:space="preserve"> </w:t>
            </w:r>
            <w:r>
              <w:t>dans la note les solutions de mobilité restantes, les plans pour l’extension de la forêt et</w:t>
            </w:r>
            <w:r w:rsidR="00295740">
              <w:t xml:space="preserve"> </w:t>
            </w:r>
            <w:r>
              <w:t>pour l’amélioration de la qualité paysagère dans les Ardennes flamandes. Vous trouverez également en</w:t>
            </w:r>
            <w:r w:rsidR="00295740">
              <w:t xml:space="preserve"> </w:t>
            </w:r>
            <w:r>
              <w:t>annexe 5 la manière dont nous avons utilisé les réactions à la première note de cadrage.</w:t>
            </w:r>
            <w:r w:rsidR="00295740">
              <w:t xml:space="preserve"> </w:t>
            </w:r>
            <w:r>
              <w:t>Vous voulez lire la note de cadrage ou transmettre une nouvelle réaction? Rendez-vous sur www.RondRonse.be/scopingnota.</w:t>
            </w:r>
          </w:p>
          <w:p w14:paraId="3037F77F" w14:textId="77777777" w:rsidR="00783992" w:rsidRPr="00295740" w:rsidRDefault="00783992" w:rsidP="00783992"/>
        </w:tc>
      </w:tr>
    </w:tbl>
    <w:p w14:paraId="26FA7A2F" w14:textId="77777777" w:rsidR="00783992" w:rsidRPr="00295740" w:rsidRDefault="00783992" w:rsidP="00783992"/>
    <w:p w14:paraId="722E2C1F" w14:textId="77777777" w:rsidR="00783992" w:rsidRDefault="00783992" w:rsidP="00783992">
      <w:pPr>
        <w:rPr>
          <w:b/>
          <w:i/>
        </w:rPr>
      </w:pPr>
      <w:r>
        <w:rPr>
          <w:b/>
          <w:i/>
        </w:rPr>
        <w:t>...Et ensuite les étapes suivantes</w:t>
      </w:r>
    </w:p>
    <w:p w14:paraId="705F934D" w14:textId="77777777" w:rsidR="00783992" w:rsidRPr="00783992" w:rsidRDefault="00783992" w:rsidP="00783992">
      <w:pPr>
        <w:rPr>
          <w:b/>
          <w:i/>
          <w:lang w:val="nl-NL"/>
        </w:rPr>
      </w:pPr>
    </w:p>
    <w:p w14:paraId="1DA2DC7F" w14:textId="77777777" w:rsidR="00783992" w:rsidRDefault="00783992" w:rsidP="00783992">
      <w:r>
        <w:t>Au printemps, une étude particulière sera menée sur les effets des solutions sur le Muzieken Hotondbos, protégé par l’Europe. Il ne restera au final que les possibilités qui n’ont dans cette étape aucune influence négative sur ces forêts.</w:t>
      </w:r>
    </w:p>
    <w:p w14:paraId="0BF1C0CB" w14:textId="77777777" w:rsidR="00783992" w:rsidRPr="00082785" w:rsidRDefault="00783992" w:rsidP="00783992">
      <w:pPr>
        <w:rPr>
          <w:lang w:val="en-US"/>
        </w:rPr>
      </w:pPr>
    </w:p>
    <w:p w14:paraId="547DD841" w14:textId="77777777" w:rsidR="00783992" w:rsidRPr="00783992" w:rsidRDefault="00783992" w:rsidP="00783992">
      <w:r>
        <w:t>Suivra ensuite une étude d’impact sur l’environnement (EIE), qui étudie l’impact des solutions restantes sur l’air, le bruit, le sol, la biodiversité, le paysage, etc.</w:t>
      </w:r>
    </w:p>
    <w:p w14:paraId="7ADE0B67" w14:textId="77777777" w:rsidR="00783992" w:rsidRPr="00082785" w:rsidRDefault="00783992" w:rsidP="00783992">
      <w:pPr>
        <w:rPr>
          <w:lang w:val="en-US"/>
        </w:rPr>
      </w:pPr>
    </w:p>
    <w:p w14:paraId="33686DCC" w14:textId="77777777" w:rsidR="00783992" w:rsidRDefault="00783992" w:rsidP="00783992">
      <w:r>
        <w:t>L’étude d’impact agricole (EIA) se penche ensuite sur l’impact des différentes solutions et de l’extension de la forêt sur la pratique agricole dans la région. L’EIA examine également la manière dont cet impact peut être limité ou compensé.</w:t>
      </w:r>
    </w:p>
    <w:p w14:paraId="4848FCDB" w14:textId="77777777" w:rsidR="00783992" w:rsidRPr="00082785" w:rsidRDefault="00783992" w:rsidP="00783992">
      <w:pPr>
        <w:rPr>
          <w:lang w:val="en-US"/>
        </w:rPr>
      </w:pPr>
    </w:p>
    <w:p w14:paraId="33193DEB" w14:textId="77777777" w:rsidR="00783992" w:rsidRPr="00783992" w:rsidRDefault="00783992" w:rsidP="00783992">
      <w:r>
        <w:t>L’analyse coûts-avantages sociaux (ACAS) évalue les coûts de chaque alternative</w:t>
      </w:r>
    </w:p>
    <w:p w14:paraId="6A692A79" w14:textId="77777777" w:rsidR="00783992" w:rsidRPr="00783992" w:rsidRDefault="00783992" w:rsidP="00783992">
      <w:r>
        <w:t>et les avantages qui en découlent pour la société.</w:t>
      </w:r>
    </w:p>
    <w:p w14:paraId="5F8F5672" w14:textId="77777777" w:rsidR="00783992" w:rsidRPr="00082785" w:rsidRDefault="00783992" w:rsidP="00783992">
      <w:pPr>
        <w:rPr>
          <w:lang w:val="en-US"/>
        </w:rPr>
      </w:pPr>
    </w:p>
    <w:p w14:paraId="18F4423C" w14:textId="77777777" w:rsidR="00783992" w:rsidRDefault="00783992" w:rsidP="00783992">
      <w:r>
        <w:t>Nous allons également mener une recherche de projet : nous cherchons une solution qualitative, axée sur les opportunités dans la région, comme le développement urbain.</w:t>
      </w:r>
    </w:p>
    <w:p w14:paraId="6D9DC412" w14:textId="77777777" w:rsidR="00783992" w:rsidRPr="00082785" w:rsidRDefault="00783992" w:rsidP="00783992">
      <w:pPr>
        <w:rPr>
          <w:lang w:val="en-US"/>
        </w:rPr>
      </w:pPr>
    </w:p>
    <w:p w14:paraId="5877E34B" w14:textId="77777777" w:rsidR="00783992" w:rsidRDefault="00783992" w:rsidP="00783992">
      <w:r>
        <w:t xml:space="preserve">Fin 2021 ou début 2022, le gouvernement flamand prendra, sur la base des résultats de toutes les études, une décision à propos d'une constatation provisoire. </w:t>
      </w:r>
    </w:p>
    <w:p w14:paraId="0A579EB9" w14:textId="77777777" w:rsidR="00783992" w:rsidRPr="00082785" w:rsidRDefault="00783992" w:rsidP="00783992">
      <w:pPr>
        <w:rPr>
          <w:lang w:val="en-US"/>
        </w:rPr>
      </w:pPr>
    </w:p>
    <w:tbl>
      <w:tblPr>
        <w:tblStyle w:val="Tabelraster"/>
        <w:tblW w:w="0" w:type="auto"/>
        <w:tblLook w:val="04A0" w:firstRow="1" w:lastRow="0" w:firstColumn="1" w:lastColumn="0" w:noHBand="0" w:noVBand="1"/>
      </w:tblPr>
      <w:tblGrid>
        <w:gridCol w:w="9056"/>
      </w:tblGrid>
      <w:tr w:rsidR="00783992" w14:paraId="7133BF0B" w14:textId="77777777" w:rsidTr="00783992">
        <w:tc>
          <w:tcPr>
            <w:tcW w:w="9056" w:type="dxa"/>
          </w:tcPr>
          <w:p w14:paraId="5E70D6F4" w14:textId="77777777" w:rsidR="00783992" w:rsidRPr="00783992" w:rsidRDefault="00783992" w:rsidP="00783992">
            <w:r>
              <w:t>Si vous voulez savoir ce que Rond Ronse peut apporter pour le paysage, la nature, l’agriculture et la mobilité, inscrivez-vous aux tables de conversation numériques de fin janvier-début février via www.RondRonse.be/agenda.</w:t>
            </w:r>
          </w:p>
          <w:p w14:paraId="29F32DE0" w14:textId="77777777" w:rsidR="00783992" w:rsidRPr="00082785" w:rsidRDefault="00783992" w:rsidP="00783992">
            <w:pPr>
              <w:rPr>
                <w:lang w:val="en-US"/>
              </w:rPr>
            </w:pPr>
          </w:p>
        </w:tc>
      </w:tr>
    </w:tbl>
    <w:p w14:paraId="6934EC93" w14:textId="0D1564F5" w:rsidR="00783992" w:rsidRDefault="00783992" w:rsidP="00783992">
      <w:pPr>
        <w:pBdr>
          <w:bottom w:val="single" w:sz="6" w:space="1" w:color="auto"/>
        </w:pBdr>
        <w:rPr>
          <w:lang w:val="en-US"/>
        </w:rPr>
      </w:pPr>
    </w:p>
    <w:p w14:paraId="08CECFB8" w14:textId="77777777" w:rsidR="00295740" w:rsidRPr="00082785" w:rsidRDefault="00295740" w:rsidP="00783992">
      <w:pPr>
        <w:pBdr>
          <w:bottom w:val="single" w:sz="6" w:space="1" w:color="auto"/>
        </w:pBdr>
        <w:rPr>
          <w:lang w:val="en-US"/>
        </w:rPr>
      </w:pPr>
    </w:p>
    <w:p w14:paraId="2E64ACAE" w14:textId="10985046" w:rsidR="00A6076A" w:rsidRDefault="00A6076A">
      <w:r>
        <w:br w:type="page"/>
      </w:r>
    </w:p>
    <w:p w14:paraId="67414A8D" w14:textId="77777777" w:rsidR="00783992" w:rsidRPr="00F70922" w:rsidRDefault="00A6076A" w:rsidP="00A6076A">
      <w:pPr>
        <w:rPr>
          <w:b/>
          <w:sz w:val="44"/>
        </w:rPr>
      </w:pPr>
      <w:r w:rsidRPr="00F70922">
        <w:rPr>
          <w:b/>
          <w:sz w:val="44"/>
        </w:rPr>
        <w:lastRenderedPageBreak/>
        <w:t>Travailler sur la qualité paysagère des Ardennes flamandes</w:t>
      </w:r>
    </w:p>
    <w:p w14:paraId="4ED5FE08" w14:textId="77777777" w:rsidR="00661467" w:rsidRPr="00082785" w:rsidRDefault="00661467" w:rsidP="00A6076A">
      <w:pPr>
        <w:rPr>
          <w:b/>
          <w:sz w:val="32"/>
          <w:lang w:val="en-US"/>
        </w:rPr>
      </w:pPr>
    </w:p>
    <w:p w14:paraId="027F4796" w14:textId="77777777" w:rsidR="00661467" w:rsidRPr="00661467" w:rsidRDefault="00661467" w:rsidP="00661467">
      <w:pPr>
        <w:rPr>
          <w:b/>
        </w:rPr>
      </w:pPr>
      <w:r>
        <w:rPr>
          <w:b/>
        </w:rPr>
        <w:t>Le paysage et l’espace ouvert à Kluisbergen, Oudenaarde, Maarkedal et Renaix sont les caractéristiques des Ardennes flamandes. Sous le nom « Vlaamse Ardennen: rond Kluisberg, Muziekberg en Koppenberg », nous travaillons sur la consolidation de ces éléments naturels et paysagers précieux.</w:t>
      </w:r>
    </w:p>
    <w:p w14:paraId="67E9EE53" w14:textId="77777777" w:rsidR="00661467" w:rsidRPr="00082785" w:rsidRDefault="00661467" w:rsidP="00661467">
      <w:pPr>
        <w:rPr>
          <w:lang w:val="en-US"/>
        </w:rPr>
      </w:pPr>
    </w:p>
    <w:p w14:paraId="17517A20" w14:textId="77777777" w:rsidR="00661467" w:rsidRDefault="00661467" w:rsidP="00661467">
      <w:pPr>
        <w:rPr>
          <w:lang w:val="nl-NL"/>
        </w:rPr>
      </w:pPr>
    </w:p>
    <w:tbl>
      <w:tblPr>
        <w:tblStyle w:val="Tabelraster"/>
        <w:tblW w:w="0" w:type="auto"/>
        <w:tblLook w:val="04A0" w:firstRow="1" w:lastRow="0" w:firstColumn="1" w:lastColumn="0" w:noHBand="0" w:noVBand="1"/>
      </w:tblPr>
      <w:tblGrid>
        <w:gridCol w:w="4528"/>
        <w:gridCol w:w="4528"/>
      </w:tblGrid>
      <w:tr w:rsidR="00661467" w14:paraId="05BDDF35" w14:textId="77777777" w:rsidTr="00DF6950">
        <w:tc>
          <w:tcPr>
            <w:tcW w:w="9056" w:type="dxa"/>
            <w:gridSpan w:val="2"/>
          </w:tcPr>
          <w:p w14:paraId="2BC6D3F3" w14:textId="77777777" w:rsidR="00661467" w:rsidRDefault="00661467" w:rsidP="00661467">
            <w:r>
              <w:t>Quels sont les objectifs ?</w:t>
            </w:r>
          </w:p>
        </w:tc>
      </w:tr>
      <w:tr w:rsidR="00661467" w14:paraId="30A1EC2A" w14:textId="77777777" w:rsidTr="00661467">
        <w:tc>
          <w:tcPr>
            <w:tcW w:w="4528" w:type="dxa"/>
          </w:tcPr>
          <w:p w14:paraId="6028A422" w14:textId="77777777" w:rsidR="00661467" w:rsidRPr="00661467" w:rsidRDefault="00661467" w:rsidP="00661467">
            <w:pPr>
              <w:rPr>
                <w:b/>
              </w:rPr>
            </w:pPr>
            <w:r>
              <w:rPr>
                <w:b/>
              </w:rPr>
              <w:t>Consolider les atouts paysagers</w:t>
            </w:r>
          </w:p>
          <w:p w14:paraId="122D88D1" w14:textId="77777777" w:rsidR="00661467" w:rsidRDefault="00661467" w:rsidP="00661467">
            <w:pPr>
              <w:pStyle w:val="Lijstalinea"/>
              <w:numPr>
                <w:ilvl w:val="0"/>
                <w:numId w:val="1"/>
              </w:numPr>
            </w:pPr>
            <w:r>
              <w:t>Étendre et relier les forêts</w:t>
            </w:r>
          </w:p>
          <w:p w14:paraId="77E672F1" w14:textId="77777777" w:rsidR="00661467" w:rsidRDefault="00661467" w:rsidP="00661467">
            <w:pPr>
              <w:pStyle w:val="Lijstalinea"/>
              <w:numPr>
                <w:ilvl w:val="0"/>
                <w:numId w:val="1"/>
              </w:numPr>
            </w:pPr>
            <w:r>
              <w:t>Protéger les paysages et panoramas typiques</w:t>
            </w:r>
          </w:p>
          <w:p w14:paraId="5ED49085" w14:textId="77777777" w:rsidR="00661467" w:rsidRPr="00661467" w:rsidRDefault="00661467" w:rsidP="00661467">
            <w:pPr>
              <w:pStyle w:val="Lijstalinea"/>
              <w:numPr>
                <w:ilvl w:val="0"/>
                <w:numId w:val="1"/>
              </w:numPr>
            </w:pPr>
            <w:r>
              <w:t>Offrir une perspective d’avenir durable à l’agriculture</w:t>
            </w:r>
          </w:p>
        </w:tc>
        <w:tc>
          <w:tcPr>
            <w:tcW w:w="4528" w:type="dxa"/>
          </w:tcPr>
          <w:p w14:paraId="1BB919A8" w14:textId="77777777" w:rsidR="00661467" w:rsidRPr="00661467" w:rsidRDefault="00661467" w:rsidP="00661467">
            <w:pPr>
              <w:rPr>
                <w:b/>
              </w:rPr>
            </w:pPr>
            <w:r>
              <w:rPr>
                <w:b/>
              </w:rPr>
              <w:t>Aborder les problèmes de la région</w:t>
            </w:r>
          </w:p>
          <w:p w14:paraId="271A059E" w14:textId="77777777" w:rsidR="00661467" w:rsidRDefault="00661467" w:rsidP="00661467">
            <w:pPr>
              <w:pStyle w:val="Lijstalinea"/>
              <w:numPr>
                <w:ilvl w:val="0"/>
                <w:numId w:val="1"/>
              </w:numPr>
            </w:pPr>
            <w:r>
              <w:t>Créer des espaces verts plus accessibles</w:t>
            </w:r>
          </w:p>
          <w:p w14:paraId="2C565218" w14:textId="77777777" w:rsidR="00661467" w:rsidRDefault="00661467" w:rsidP="00661467">
            <w:pPr>
              <w:pStyle w:val="Lijstalinea"/>
              <w:numPr>
                <w:ilvl w:val="0"/>
                <w:numId w:val="1"/>
              </w:numPr>
            </w:pPr>
            <w:r>
              <w:t>Relier la nature morcelée</w:t>
            </w:r>
          </w:p>
          <w:p w14:paraId="06983871" w14:textId="77777777" w:rsidR="00661467" w:rsidRDefault="00661467" w:rsidP="00661467">
            <w:pPr>
              <w:pStyle w:val="Lijstalinea"/>
              <w:numPr>
                <w:ilvl w:val="0"/>
                <w:numId w:val="1"/>
              </w:numPr>
            </w:pPr>
            <w:r>
              <w:t>Réparer la biodiversité</w:t>
            </w:r>
          </w:p>
          <w:p w14:paraId="18B9F2BD" w14:textId="77777777" w:rsidR="00661467" w:rsidRPr="00661467" w:rsidRDefault="00661467" w:rsidP="00661467">
            <w:pPr>
              <w:pStyle w:val="Lijstalinea"/>
              <w:numPr>
                <w:ilvl w:val="0"/>
                <w:numId w:val="1"/>
              </w:numPr>
            </w:pPr>
            <w:r>
              <w:t>Accroître la qualité du sol et de l’eau</w:t>
            </w:r>
          </w:p>
        </w:tc>
      </w:tr>
    </w:tbl>
    <w:p w14:paraId="4EEDE73E" w14:textId="439F4644" w:rsidR="00661467" w:rsidRDefault="00661467" w:rsidP="00661467">
      <w:pPr>
        <w:pBdr>
          <w:bottom w:val="single" w:sz="6" w:space="1" w:color="auto"/>
        </w:pBdr>
        <w:rPr>
          <w:lang w:val="nl-NL"/>
        </w:rPr>
      </w:pPr>
    </w:p>
    <w:p w14:paraId="505788E0" w14:textId="77777777" w:rsidR="00F70922" w:rsidRDefault="00F70922" w:rsidP="00661467">
      <w:pPr>
        <w:pBdr>
          <w:bottom w:val="single" w:sz="6" w:space="1" w:color="auto"/>
        </w:pBdr>
        <w:rPr>
          <w:lang w:val="nl-NL"/>
        </w:rPr>
      </w:pPr>
    </w:p>
    <w:p w14:paraId="794ED930" w14:textId="60EEED8A" w:rsidR="00F70922" w:rsidRDefault="00F70922" w:rsidP="00661467">
      <w:pPr>
        <w:rPr>
          <w:lang w:val="nl-NL"/>
        </w:rPr>
      </w:pPr>
    </w:p>
    <w:p w14:paraId="491B9E93" w14:textId="77777777" w:rsidR="00F70922" w:rsidRDefault="00F70922" w:rsidP="00661467">
      <w:pPr>
        <w:rPr>
          <w:lang w:val="nl-NL"/>
        </w:rPr>
      </w:pPr>
    </w:p>
    <w:p w14:paraId="2EFEA98A" w14:textId="77777777" w:rsidR="00373E38" w:rsidRDefault="00373E38" w:rsidP="00661467">
      <w:pPr>
        <w:rPr>
          <w:b/>
          <w:sz w:val="32"/>
        </w:rPr>
      </w:pPr>
      <w:r>
        <w:rPr>
          <w:b/>
          <w:sz w:val="32"/>
        </w:rPr>
        <w:t>Plus de forêts pour les Ardennes flamandes</w:t>
      </w:r>
    </w:p>
    <w:p w14:paraId="7ABAD9B6" w14:textId="77777777" w:rsidR="00373E38" w:rsidRPr="00082785" w:rsidRDefault="00373E38" w:rsidP="00661467">
      <w:pPr>
        <w:rPr>
          <w:b/>
          <w:sz w:val="32"/>
          <w:lang w:val="en-US"/>
        </w:rPr>
      </w:pPr>
    </w:p>
    <w:p w14:paraId="6D3F1F5D" w14:textId="77777777" w:rsidR="00373E38" w:rsidRDefault="00373E38" w:rsidP="00373E38">
      <w:pPr>
        <w:rPr>
          <w:b/>
        </w:rPr>
      </w:pPr>
      <w:r>
        <w:rPr>
          <w:b/>
        </w:rPr>
        <w:t>Dans le groupe de travail « Vlaamse Ardennen: rond Kluisberg, Muziekberg en Koppenberg », nous travaillons sur la consolidation des éléments naturels et paysagers de valeur à Kluisbergen, Maarkedal, Oudenaarde et Renaix. Prévoir un espace pour une forêt supplémentaire est l’une des principales ambitions.</w:t>
      </w:r>
    </w:p>
    <w:p w14:paraId="29A3238E" w14:textId="77777777" w:rsidR="00373E38" w:rsidRPr="00082785" w:rsidRDefault="00373E38" w:rsidP="00373E38">
      <w:pPr>
        <w:rPr>
          <w:b/>
          <w:lang w:val="en-US"/>
        </w:rPr>
      </w:pPr>
    </w:p>
    <w:p w14:paraId="7297C04C" w14:textId="77777777" w:rsidR="00373E38" w:rsidRDefault="00373E38" w:rsidP="00373E38">
      <w:r>
        <w:t>Cette extension de la forêt fait partie de la réalisation des objectifs faune de l’Europe. Ces objectifs entendent lutter contre le morcellement de la nature et augmenter la biodiversité dans des zones naturelles. Les zones Natura 2000 - des sites naturels ayant une grande valeur patrimoniale - autour de Kluisberg, Muziekberg et Koppenberg doivent dès lors être renforcées. Pour la ceinture forestière Kluisberg-Hotondberg-Koppenberg, environ 250 hectares de forêt devront s’ajouter, contre environ 100 hectares pour le Muziekbos.</w:t>
      </w:r>
    </w:p>
    <w:p w14:paraId="42B908EA" w14:textId="77777777" w:rsidR="00373E38" w:rsidRPr="00373E38" w:rsidRDefault="00373E38" w:rsidP="00373E38">
      <w:pPr>
        <w:rPr>
          <w:lang w:val="nl-NL"/>
        </w:rPr>
      </w:pPr>
    </w:p>
    <w:p w14:paraId="4F97C2A9" w14:textId="77777777" w:rsidR="00373E38" w:rsidRDefault="00373E38" w:rsidP="00373E38">
      <w:pPr>
        <w:rPr>
          <w:b/>
          <w:i/>
        </w:rPr>
      </w:pPr>
      <w:r>
        <w:rPr>
          <w:b/>
          <w:i/>
        </w:rPr>
        <w:t>Zones de recherche pour l'extension de la forêt</w:t>
      </w:r>
    </w:p>
    <w:p w14:paraId="0C13BC71" w14:textId="77777777" w:rsidR="00373E38" w:rsidRPr="00373E38" w:rsidRDefault="00373E38" w:rsidP="00373E38">
      <w:pPr>
        <w:rPr>
          <w:b/>
          <w:i/>
          <w:lang w:val="nl-NL"/>
        </w:rPr>
      </w:pPr>
    </w:p>
    <w:p w14:paraId="6C30F5DE" w14:textId="77777777" w:rsidR="00373E38" w:rsidRDefault="00373E38" w:rsidP="00373E38">
      <w:r>
        <w:t>La consolidation de la structure forestière est une mission importante. Pour déterminer l’emplacement de l’extension forestière, une carte de zone de recherche a été établie. Cette carte indique les zones qui peuvent entrer en ligne de compte pour le reboisement et seront davantage étudiées.</w:t>
      </w:r>
    </w:p>
    <w:p w14:paraId="2D55360B" w14:textId="77777777" w:rsidR="00FC7B2F" w:rsidRPr="00082785" w:rsidRDefault="00FC7B2F" w:rsidP="00373E38"/>
    <w:tbl>
      <w:tblPr>
        <w:tblStyle w:val="Tabelraster"/>
        <w:tblW w:w="0" w:type="auto"/>
        <w:tblLook w:val="04A0" w:firstRow="1" w:lastRow="0" w:firstColumn="1" w:lastColumn="0" w:noHBand="0" w:noVBand="1"/>
      </w:tblPr>
      <w:tblGrid>
        <w:gridCol w:w="9056"/>
      </w:tblGrid>
      <w:tr w:rsidR="00FC7B2F" w14:paraId="6A31CE12" w14:textId="77777777" w:rsidTr="00FC7B2F">
        <w:tc>
          <w:tcPr>
            <w:tcW w:w="9056" w:type="dxa"/>
          </w:tcPr>
          <w:p w14:paraId="5DF7101B" w14:textId="0D2BFD2E" w:rsidR="00FC7B2F" w:rsidRDefault="00FC7B2F" w:rsidP="00FC7B2F">
            <w:r>
              <w:t>Au total, une centaine de zones de recherche ont été identifiées. Découvrez les zones de recherche sur</w:t>
            </w:r>
            <w:r w:rsidR="00F70922">
              <w:t xml:space="preserve"> </w:t>
            </w:r>
            <w:r>
              <w:t>www.RondRonse.be/vlaamseardennen.</w:t>
            </w:r>
          </w:p>
        </w:tc>
      </w:tr>
    </w:tbl>
    <w:p w14:paraId="13BB88D2" w14:textId="77777777" w:rsidR="00FC7B2F" w:rsidRDefault="00FC7B2F" w:rsidP="00373E38">
      <w:pPr>
        <w:rPr>
          <w:lang w:val="nl-NL"/>
        </w:rPr>
      </w:pPr>
    </w:p>
    <w:tbl>
      <w:tblPr>
        <w:tblStyle w:val="Tabelraster"/>
        <w:tblW w:w="0" w:type="auto"/>
        <w:tblLook w:val="04A0" w:firstRow="1" w:lastRow="0" w:firstColumn="1" w:lastColumn="0" w:noHBand="0" w:noVBand="1"/>
      </w:tblPr>
      <w:tblGrid>
        <w:gridCol w:w="9056"/>
      </w:tblGrid>
      <w:tr w:rsidR="00842E3A" w14:paraId="7DD43B41" w14:textId="77777777" w:rsidTr="00842E3A">
        <w:tc>
          <w:tcPr>
            <w:tcW w:w="9056" w:type="dxa"/>
          </w:tcPr>
          <w:p w14:paraId="1C7C9292" w14:textId="77777777" w:rsidR="00842E3A" w:rsidRPr="00842E3A" w:rsidRDefault="00842E3A" w:rsidP="00842E3A">
            <w:pPr>
              <w:rPr>
                <w:b/>
                <w:i/>
              </w:rPr>
            </w:pPr>
            <w:r>
              <w:rPr>
                <w:b/>
                <w:i/>
              </w:rPr>
              <w:lastRenderedPageBreak/>
              <w:t>Rond Ronse : une seule approche du paysage et de la mobilité</w:t>
            </w:r>
          </w:p>
          <w:p w14:paraId="720F99F1" w14:textId="77777777" w:rsidR="00842E3A" w:rsidRDefault="00842E3A" w:rsidP="00842E3A">
            <w:pPr>
              <w:rPr>
                <w:lang w:val="nl-NL"/>
              </w:rPr>
            </w:pPr>
          </w:p>
          <w:p w14:paraId="6D150B9E" w14:textId="77777777" w:rsidR="00F70922" w:rsidRDefault="00842E3A" w:rsidP="00842E3A">
            <w:r>
              <w:t xml:space="preserve">La délimitation des zones de la structure naturelle et agraire autour de Kluisberg, Muziekberg et Koppenberg s’inscrit dans le cadre du projet « Rond Ronse ». Dans le cadre de ce processus, nous cherchons des solutions pour la problématique de la qualité de vie et de la mobilité dans Renaix et ses alentours. Vu que l’un ne peut être pris en compte sans l’autre, les deux font partie d’un seul processus de plan. </w:t>
            </w:r>
          </w:p>
          <w:p w14:paraId="4A343F70" w14:textId="77777777" w:rsidR="00F70922" w:rsidRDefault="00F70922" w:rsidP="00842E3A"/>
          <w:p w14:paraId="5B91A783" w14:textId="5B6B9B5E" w:rsidR="00842E3A" w:rsidRDefault="00842E3A" w:rsidP="00842E3A">
            <w:r>
              <w:t>Une autre brochure se concentre sur les défis paysagers dans la région. Vous la trouverez sur www.RondRonse.be.</w:t>
            </w:r>
          </w:p>
        </w:tc>
      </w:tr>
    </w:tbl>
    <w:p w14:paraId="51F237AE" w14:textId="336C584E" w:rsidR="00842E3A" w:rsidRDefault="00842E3A" w:rsidP="00373E38">
      <w:pPr>
        <w:pBdr>
          <w:bottom w:val="single" w:sz="6" w:space="1" w:color="auto"/>
        </w:pBdr>
        <w:rPr>
          <w:lang w:val="en-US"/>
        </w:rPr>
      </w:pPr>
    </w:p>
    <w:p w14:paraId="5E8469BF" w14:textId="02138A0F" w:rsidR="00F70922" w:rsidRDefault="00F70922" w:rsidP="00373E38">
      <w:pPr>
        <w:pBdr>
          <w:bottom w:val="single" w:sz="6" w:space="1" w:color="auto"/>
        </w:pBdr>
        <w:rPr>
          <w:lang w:val="en-US"/>
        </w:rPr>
      </w:pPr>
    </w:p>
    <w:p w14:paraId="42A4057D" w14:textId="2973746A" w:rsidR="000903AE" w:rsidRDefault="000903AE" w:rsidP="00373E38">
      <w:pPr>
        <w:pBdr>
          <w:bottom w:val="single" w:sz="6" w:space="1" w:color="auto"/>
        </w:pBdr>
        <w:rPr>
          <w:lang w:val="en-US"/>
        </w:rPr>
      </w:pPr>
    </w:p>
    <w:p w14:paraId="4D45D57B" w14:textId="0B1BBAC2" w:rsidR="000903AE" w:rsidRDefault="000903AE" w:rsidP="00373E38">
      <w:pPr>
        <w:pBdr>
          <w:bottom w:val="single" w:sz="6" w:space="1" w:color="auto"/>
        </w:pBdr>
        <w:rPr>
          <w:lang w:val="en-US"/>
        </w:rPr>
      </w:pPr>
    </w:p>
    <w:p w14:paraId="41D86D9B" w14:textId="26F1B7F0" w:rsidR="000903AE" w:rsidRDefault="000903AE" w:rsidP="00373E38">
      <w:pPr>
        <w:pBdr>
          <w:bottom w:val="single" w:sz="6" w:space="1" w:color="auto"/>
        </w:pBdr>
        <w:rPr>
          <w:lang w:val="en-US"/>
        </w:rPr>
      </w:pPr>
    </w:p>
    <w:p w14:paraId="222A49DB" w14:textId="77777777" w:rsidR="000903AE" w:rsidRDefault="000903AE" w:rsidP="00373E38">
      <w:pPr>
        <w:pBdr>
          <w:bottom w:val="single" w:sz="6" w:space="1" w:color="auto"/>
        </w:pBdr>
        <w:rPr>
          <w:lang w:val="en-US"/>
        </w:rPr>
      </w:pPr>
    </w:p>
    <w:p w14:paraId="309A8851" w14:textId="77777777" w:rsidR="00F70922" w:rsidRDefault="00F70922" w:rsidP="00373E38">
      <w:pPr>
        <w:rPr>
          <w:lang w:val="en-US"/>
        </w:rPr>
      </w:pPr>
    </w:p>
    <w:p w14:paraId="78389276" w14:textId="77777777" w:rsidR="00F70922" w:rsidRPr="00082785" w:rsidRDefault="00F70922" w:rsidP="00373E38">
      <w:pPr>
        <w:rPr>
          <w:lang w:val="en-US"/>
        </w:rPr>
      </w:pPr>
    </w:p>
    <w:tbl>
      <w:tblPr>
        <w:tblStyle w:val="Tabelraster"/>
        <w:tblW w:w="0" w:type="auto"/>
        <w:tblLook w:val="04A0" w:firstRow="1" w:lastRow="0" w:firstColumn="1" w:lastColumn="0" w:noHBand="0" w:noVBand="1"/>
      </w:tblPr>
      <w:tblGrid>
        <w:gridCol w:w="9056"/>
      </w:tblGrid>
      <w:tr w:rsidR="004405CA" w14:paraId="3D67D115" w14:textId="77777777" w:rsidTr="004405CA">
        <w:tc>
          <w:tcPr>
            <w:tcW w:w="9056" w:type="dxa"/>
          </w:tcPr>
          <w:p w14:paraId="544EECD8" w14:textId="77777777" w:rsidR="004405CA" w:rsidRPr="004405CA" w:rsidRDefault="004405CA" w:rsidP="004405CA">
            <w:r>
              <w:t>L’extension des forêts est une priorité pour le gouvernement flamand. Dans les Ardennes flamandes, de nombreuses forêts ont disparu depuis le 18</w:t>
            </w:r>
            <w:r>
              <w:rPr>
                <w:vertAlign w:val="superscript"/>
              </w:rPr>
              <w:t>e</w:t>
            </w:r>
            <w:r>
              <w:t xml:space="preserve"> siècle. Ce qui fait que les forêts sont aujourd'hui morcelées dans la région, et que des espèces animales et végétales sont menacées de disparition. Une extension des forêts permettra d’avoir plus d’espaces verts, un environnement plus sain et une meilleure biodiversité. Une forêt plus vaste a également un effet positif sur la santé de tous, qu’elle soit physique ou mentale. C’est la raison pour laquelle nous avons plus que jamais besoin d’espaces verts supplémentaires autour</w:t>
            </w:r>
          </w:p>
          <w:p w14:paraId="72E1041D" w14:textId="77777777" w:rsidR="004405CA" w:rsidRDefault="004405CA" w:rsidP="004405CA">
            <w:r>
              <w:t>des ceintures forestières Kluisberg-Hotondberg-Koppenberg et autour du Muziekbos.</w:t>
            </w:r>
          </w:p>
        </w:tc>
      </w:tr>
    </w:tbl>
    <w:p w14:paraId="52CCF8E8" w14:textId="77777777" w:rsidR="004405CA" w:rsidRDefault="004405CA" w:rsidP="00373E38">
      <w:pPr>
        <w:rPr>
          <w:lang w:val="nl-NL"/>
        </w:rPr>
      </w:pPr>
    </w:p>
    <w:p w14:paraId="1C75B3CD" w14:textId="77777777" w:rsidR="00F821C2" w:rsidRPr="00F70922" w:rsidRDefault="00F821C2" w:rsidP="00F821C2">
      <w:pPr>
        <w:ind w:left="708"/>
        <w:rPr>
          <w:i/>
          <w:sz w:val="48"/>
        </w:rPr>
      </w:pPr>
      <w:r w:rsidRPr="00F70922">
        <w:rPr>
          <w:i/>
          <w:sz w:val="48"/>
        </w:rPr>
        <w:t>« Le gouvernement flamand veut créer 350 hectares de forêts supplémentaires dans la région »</w:t>
      </w:r>
    </w:p>
    <w:p w14:paraId="6A7F78F1" w14:textId="77777777" w:rsidR="00F821C2" w:rsidRPr="00082785" w:rsidRDefault="00F821C2" w:rsidP="00F821C2">
      <w:pPr>
        <w:ind w:left="708"/>
        <w:rPr>
          <w:i/>
          <w:lang w:val="en-US"/>
        </w:rPr>
      </w:pPr>
    </w:p>
    <w:p w14:paraId="374F9B9B" w14:textId="77777777" w:rsidR="00F821C2" w:rsidRPr="00082785" w:rsidRDefault="00F821C2" w:rsidP="00F821C2">
      <w:pPr>
        <w:pBdr>
          <w:bottom w:val="single" w:sz="6" w:space="1" w:color="auto"/>
        </w:pBdr>
        <w:rPr>
          <w:lang w:val="en-US"/>
        </w:rPr>
      </w:pPr>
    </w:p>
    <w:p w14:paraId="7B6A7745" w14:textId="77777777" w:rsidR="00F70922" w:rsidRDefault="00F70922" w:rsidP="00F821C2">
      <w:pPr>
        <w:rPr>
          <w:b/>
          <w:sz w:val="32"/>
        </w:rPr>
      </w:pPr>
    </w:p>
    <w:p w14:paraId="1F1EA190" w14:textId="77777777" w:rsidR="000903AE" w:rsidRDefault="000903AE" w:rsidP="00F821C2">
      <w:pPr>
        <w:rPr>
          <w:b/>
          <w:sz w:val="32"/>
        </w:rPr>
      </w:pPr>
    </w:p>
    <w:p w14:paraId="3C289BFB" w14:textId="77777777" w:rsidR="000903AE" w:rsidRDefault="000903AE" w:rsidP="00F821C2">
      <w:pPr>
        <w:rPr>
          <w:b/>
          <w:sz w:val="32"/>
        </w:rPr>
      </w:pPr>
    </w:p>
    <w:p w14:paraId="54BCAD18" w14:textId="77777777" w:rsidR="000903AE" w:rsidRDefault="000903AE" w:rsidP="00F821C2">
      <w:pPr>
        <w:rPr>
          <w:b/>
          <w:sz w:val="32"/>
        </w:rPr>
      </w:pPr>
    </w:p>
    <w:p w14:paraId="47EFFE1B" w14:textId="77777777" w:rsidR="000903AE" w:rsidRDefault="000903AE" w:rsidP="00F821C2">
      <w:pPr>
        <w:rPr>
          <w:b/>
          <w:sz w:val="32"/>
        </w:rPr>
      </w:pPr>
    </w:p>
    <w:p w14:paraId="1BB1AE35" w14:textId="77777777" w:rsidR="000903AE" w:rsidRDefault="000903AE" w:rsidP="00F821C2">
      <w:pPr>
        <w:rPr>
          <w:b/>
          <w:sz w:val="32"/>
        </w:rPr>
      </w:pPr>
    </w:p>
    <w:p w14:paraId="417EF804" w14:textId="77777777" w:rsidR="000903AE" w:rsidRDefault="000903AE" w:rsidP="00F821C2">
      <w:pPr>
        <w:rPr>
          <w:b/>
          <w:sz w:val="32"/>
        </w:rPr>
      </w:pPr>
    </w:p>
    <w:p w14:paraId="220334D5" w14:textId="77777777" w:rsidR="000903AE" w:rsidRDefault="000903AE" w:rsidP="00F821C2">
      <w:pPr>
        <w:rPr>
          <w:b/>
          <w:sz w:val="32"/>
        </w:rPr>
      </w:pPr>
    </w:p>
    <w:p w14:paraId="04114BED" w14:textId="1802E430" w:rsidR="009E018D" w:rsidRDefault="009E018D" w:rsidP="00F821C2">
      <w:pPr>
        <w:rPr>
          <w:b/>
          <w:sz w:val="32"/>
        </w:rPr>
      </w:pPr>
      <w:r>
        <w:rPr>
          <w:b/>
          <w:sz w:val="32"/>
        </w:rPr>
        <w:lastRenderedPageBreak/>
        <w:t>Agriculture et extension de la forêt adaptées au paysage</w:t>
      </w:r>
    </w:p>
    <w:p w14:paraId="269A6292" w14:textId="77777777" w:rsidR="009E018D" w:rsidRPr="00082785" w:rsidRDefault="009E018D" w:rsidP="00F821C2">
      <w:pPr>
        <w:rPr>
          <w:b/>
          <w:sz w:val="32"/>
          <w:lang w:val="en-US"/>
        </w:rPr>
      </w:pPr>
    </w:p>
    <w:p w14:paraId="0BC4399C" w14:textId="77777777" w:rsidR="00532A98" w:rsidRPr="00532A98" w:rsidRDefault="00532A98" w:rsidP="00532A98">
      <w:pPr>
        <w:rPr>
          <w:b/>
        </w:rPr>
      </w:pPr>
      <w:r>
        <w:rPr>
          <w:b/>
        </w:rPr>
        <w:t>Les crêtes boisées, les coteaux ouverts et les panoramas de Kluisbergen, Maarkedal,</w:t>
      </w:r>
    </w:p>
    <w:p w14:paraId="01E2BC7D" w14:textId="77777777" w:rsidR="00532A98" w:rsidRPr="00532A98" w:rsidRDefault="00532A98" w:rsidP="00532A98">
      <w:pPr>
        <w:rPr>
          <w:b/>
        </w:rPr>
      </w:pPr>
      <w:r>
        <w:rPr>
          <w:b/>
        </w:rPr>
        <w:t>Oudenaarde et Renaix c</w:t>
      </w:r>
      <w:bookmarkStart w:id="0" w:name="_GoBack"/>
      <w:bookmarkEnd w:id="0"/>
      <w:r>
        <w:rPr>
          <w:b/>
        </w:rPr>
        <w:t>onstituent l’ADN de la région. Nous voulons préserver en tant qu’éléments précieux les panoramas de points situés en hauteur, comme le plateau de Nukerke, qui donne sur la Vallée de l’Escaut ou la crête de la colline de Hotond à Kluisberg qui surplombe les vallées de la Molenbeek et de la Rhosnes.</w:t>
      </w:r>
    </w:p>
    <w:p w14:paraId="7265BE54" w14:textId="77777777" w:rsidR="00532A98" w:rsidRPr="00082785" w:rsidRDefault="00532A98" w:rsidP="00532A98"/>
    <w:p w14:paraId="4443A231" w14:textId="77777777" w:rsidR="00532A98" w:rsidRDefault="00532A98" w:rsidP="00532A98">
      <w:r>
        <w:t>Le paysage caractéristique de la région se compose de chemins creux, de talus et de végétation en bordure de parcelles, comme des rangées d’arbres, des trognes et des haies. La variation entre bocage, forêts et complexes de champs ouverts détermine en large mesure l’identité du paysage des Ardennes flamandes.</w:t>
      </w:r>
    </w:p>
    <w:p w14:paraId="71B1FE26" w14:textId="77777777" w:rsidR="00532A98" w:rsidRPr="00082785" w:rsidRDefault="00532A98" w:rsidP="00532A98"/>
    <w:p w14:paraId="546FFB87" w14:textId="77777777" w:rsidR="00532A98" w:rsidRPr="00532A98" w:rsidRDefault="00532A98" w:rsidP="00532A98">
      <w:r>
        <w:t>Le gouvernement flamand a décidé de rétablir les structures forestières historiques et de recréer des forêts dans la région. Il recherche en même temps un équilibre entre valeurs paysagères historiques et culturelles et écologiques et les fonctions économiques de l’espace ouvert, comme l’agriculture et la sylviculture. Ces aspects sont examinés en même temps et conjointement. Les plans pour la consolidation de la structure forestière tiendront dès lors compte de panoramas de valeur, de paysages et de l’impact sur les</w:t>
      </w:r>
    </w:p>
    <w:p w14:paraId="67115078" w14:textId="3E6E7D4A" w:rsidR="00532A98" w:rsidRDefault="00532A98" w:rsidP="00532A98">
      <w:r>
        <w:t>activités agricoles.</w:t>
      </w:r>
    </w:p>
    <w:p w14:paraId="2FC95707" w14:textId="5A1C6489" w:rsidR="00F70922" w:rsidRDefault="00F70922" w:rsidP="00532A98"/>
    <w:tbl>
      <w:tblPr>
        <w:tblStyle w:val="Tabelraster"/>
        <w:tblW w:w="0" w:type="auto"/>
        <w:tblLook w:val="04A0" w:firstRow="1" w:lastRow="0" w:firstColumn="1" w:lastColumn="0" w:noHBand="0" w:noVBand="1"/>
      </w:tblPr>
      <w:tblGrid>
        <w:gridCol w:w="9056"/>
      </w:tblGrid>
      <w:tr w:rsidR="00F70922" w14:paraId="3F0478A5" w14:textId="77777777" w:rsidTr="00F70922">
        <w:tc>
          <w:tcPr>
            <w:tcW w:w="9056" w:type="dxa"/>
          </w:tcPr>
          <w:p w14:paraId="23D1B474" w14:textId="5C7F3AE4" w:rsidR="00F70922" w:rsidRDefault="00F70922" w:rsidP="00532A98">
            <w:r>
              <w:t>Nous menons une politique spatiale dans le cadre de laquelle nous voulons veiller à ce que l’utilisation agricole soit adaptée aux vulnérabilités du paysage.</w:t>
            </w:r>
          </w:p>
        </w:tc>
      </w:tr>
    </w:tbl>
    <w:p w14:paraId="0E49B011" w14:textId="77777777" w:rsidR="00F70922" w:rsidRDefault="00F70922" w:rsidP="00532A98"/>
    <w:p w14:paraId="1E48F10D" w14:textId="77777777" w:rsidR="00532A98" w:rsidRPr="00082785" w:rsidRDefault="00532A98" w:rsidP="00532A98">
      <w:pPr>
        <w:rPr>
          <w:lang w:val="en-US"/>
        </w:rPr>
      </w:pPr>
    </w:p>
    <w:sectPr w:rsidR="00532A98" w:rsidRPr="00082785" w:rsidSect="001857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F79E9"/>
    <w:multiLevelType w:val="hybridMultilevel"/>
    <w:tmpl w:val="48904456"/>
    <w:lvl w:ilvl="0" w:tplc="32D21E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9C"/>
    <w:rsid w:val="00082785"/>
    <w:rsid w:val="000903AE"/>
    <w:rsid w:val="000F24BB"/>
    <w:rsid w:val="000F67F1"/>
    <w:rsid w:val="001648B7"/>
    <w:rsid w:val="0018570E"/>
    <w:rsid w:val="00295740"/>
    <w:rsid w:val="00373E38"/>
    <w:rsid w:val="004405CA"/>
    <w:rsid w:val="00532A98"/>
    <w:rsid w:val="005658A8"/>
    <w:rsid w:val="005723C1"/>
    <w:rsid w:val="00661467"/>
    <w:rsid w:val="00783992"/>
    <w:rsid w:val="00842E3A"/>
    <w:rsid w:val="009032D8"/>
    <w:rsid w:val="009E018D"/>
    <w:rsid w:val="00A6076A"/>
    <w:rsid w:val="00D22F7A"/>
    <w:rsid w:val="00E22A9C"/>
    <w:rsid w:val="00F70922"/>
    <w:rsid w:val="00F821C2"/>
    <w:rsid w:val="00FC7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FE33"/>
  <w15:chartTrackingRefBased/>
  <w15:docId w15:val="{6614B445-9E10-2F4C-BAAB-33640360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6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1739</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Celien Claesen</dc:creator>
  <cp:keywords/>
  <dc:description/>
  <cp:lastModifiedBy>Celien Claesen</cp:lastModifiedBy>
  <cp:revision>6</cp:revision>
  <dcterms:created xsi:type="dcterms:W3CDTF">2021-01-13T11:50:00Z</dcterms:created>
  <dcterms:modified xsi:type="dcterms:W3CDTF">2021-01-13T11:57:00Z</dcterms:modified>
</cp:coreProperties>
</file>