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91797" w14:textId="77777777" w:rsidR="00AF6844" w:rsidRPr="00F16713" w:rsidRDefault="00AF6844" w:rsidP="00AF6844">
      <w:pPr>
        <w:rPr>
          <w:b/>
          <w:sz w:val="48"/>
        </w:rPr>
      </w:pPr>
      <w:r w:rsidRPr="00F16713">
        <w:rPr>
          <w:b/>
          <w:sz w:val="48"/>
        </w:rPr>
        <w:t>Travailler sur la qualité paysagère des Ardennes flamandes</w:t>
      </w:r>
    </w:p>
    <w:p w14:paraId="651AE8E0" w14:textId="77777777" w:rsidR="00AF6844" w:rsidRPr="00F16713" w:rsidRDefault="00AF6844" w:rsidP="00AF6844">
      <w:pPr>
        <w:rPr>
          <w:lang w:val="en-US"/>
        </w:rPr>
      </w:pPr>
    </w:p>
    <w:p w14:paraId="5464BE3A" w14:textId="77777777" w:rsidR="00AF6844" w:rsidRDefault="00AF6844" w:rsidP="00AF6844">
      <w:pPr>
        <w:pStyle w:val="Lijstalinea"/>
        <w:numPr>
          <w:ilvl w:val="0"/>
          <w:numId w:val="1"/>
        </w:numPr>
      </w:pPr>
      <w:r>
        <w:t>Aborder ensemble les problèmes spatiaux</w:t>
      </w:r>
    </w:p>
    <w:p w14:paraId="37E2A3A4" w14:textId="77777777" w:rsidR="00AF6844" w:rsidRDefault="00AF6844" w:rsidP="00AF6844">
      <w:pPr>
        <w:pStyle w:val="Lijstalinea"/>
        <w:numPr>
          <w:ilvl w:val="0"/>
          <w:numId w:val="1"/>
        </w:numPr>
      </w:pPr>
      <w:r>
        <w:t>Consolidation de la nature et du paysage avec 350 ha de forêts supplémentaires</w:t>
      </w:r>
    </w:p>
    <w:p w14:paraId="0CACABFD" w14:textId="285709DF" w:rsidR="005723C1" w:rsidRDefault="00AF6844" w:rsidP="00AF6844">
      <w:pPr>
        <w:pStyle w:val="Lijstalinea"/>
        <w:numPr>
          <w:ilvl w:val="0"/>
          <w:numId w:val="1"/>
        </w:numPr>
      </w:pPr>
      <w:r>
        <w:t>Période de participation et étapes suivantes du processus</w:t>
      </w:r>
    </w:p>
    <w:p w14:paraId="2877D6FA" w14:textId="77777777" w:rsidR="00205EE1" w:rsidRDefault="00205EE1" w:rsidP="00205EE1"/>
    <w:p w14:paraId="03616AD9" w14:textId="77777777" w:rsidR="00B855F2" w:rsidRPr="00F16713" w:rsidRDefault="00B855F2" w:rsidP="00B855F2">
      <w:pPr>
        <w:pBdr>
          <w:bottom w:val="single" w:sz="6" w:space="1" w:color="auto"/>
        </w:pBdr>
        <w:rPr>
          <w:lang w:val="en-US"/>
        </w:rPr>
      </w:pPr>
    </w:p>
    <w:p w14:paraId="04A96318" w14:textId="77777777" w:rsidR="00205EE1" w:rsidRDefault="00205EE1" w:rsidP="00B855F2">
      <w:pPr>
        <w:rPr>
          <w:b/>
          <w:sz w:val="32"/>
        </w:rPr>
      </w:pPr>
    </w:p>
    <w:p w14:paraId="4B4CAE2B" w14:textId="63BDD536" w:rsidR="00B855F2" w:rsidRDefault="00B855F2" w:rsidP="00B855F2">
      <w:pPr>
        <w:rPr>
          <w:b/>
          <w:sz w:val="32"/>
        </w:rPr>
      </w:pPr>
      <w:r>
        <w:rPr>
          <w:b/>
          <w:sz w:val="32"/>
        </w:rPr>
        <w:t>Préserver des paysages de valeur pour l’agriculture et la nature</w:t>
      </w:r>
    </w:p>
    <w:p w14:paraId="57C28F52" w14:textId="77777777" w:rsidR="009A646B" w:rsidRPr="00F16713" w:rsidRDefault="009A646B" w:rsidP="00B855F2">
      <w:pPr>
        <w:rPr>
          <w:b/>
          <w:sz w:val="32"/>
          <w:lang w:val="en-US"/>
        </w:rPr>
      </w:pPr>
    </w:p>
    <w:p w14:paraId="5E01259D" w14:textId="77777777" w:rsidR="009A646B" w:rsidRPr="009A646B" w:rsidRDefault="009A646B" w:rsidP="009A646B">
      <w:pPr>
        <w:rPr>
          <w:b/>
        </w:rPr>
      </w:pPr>
      <w:r>
        <w:rPr>
          <w:b/>
        </w:rPr>
        <w:t>Les collines boisées et panoramas uniques de Kluisbergen, Oudenaarde, Maarkedal et Renaix sont caractéristiques du paysage des Ardennes flamandes. C’est sous le nom « Vlaamse Ardennen: rond Kluisberg, Muziekberg en Koppenberg » que nous travaillons sur la consolidation des éléments naturels et paysagers précieux de la région. Nous déterminons les régions qui seront conservées pour l’agriculture et celles où nature et forêts peuvent être ajoutés.</w:t>
      </w:r>
    </w:p>
    <w:p w14:paraId="6D0CD64B" w14:textId="77777777" w:rsidR="009A646B" w:rsidRPr="00F16713" w:rsidRDefault="009A646B" w:rsidP="009A646B">
      <w:pPr>
        <w:rPr>
          <w:b/>
          <w:i/>
          <w:lang w:val="en-US"/>
        </w:rPr>
      </w:pPr>
    </w:p>
    <w:p w14:paraId="2085E86B" w14:textId="77777777" w:rsidR="009A646B" w:rsidRPr="009A646B" w:rsidRDefault="009A646B" w:rsidP="009A646B">
      <w:pPr>
        <w:rPr>
          <w:b/>
          <w:i/>
        </w:rPr>
      </w:pPr>
      <w:r>
        <w:rPr>
          <w:b/>
          <w:i/>
        </w:rPr>
        <w:t>Aborder les problèmes spatiaux</w:t>
      </w:r>
    </w:p>
    <w:p w14:paraId="4C321D5F" w14:textId="77777777" w:rsidR="009A646B" w:rsidRPr="00F16713" w:rsidRDefault="009A646B" w:rsidP="009A646B">
      <w:pPr>
        <w:rPr>
          <w:lang w:val="en-US"/>
        </w:rPr>
      </w:pPr>
    </w:p>
    <w:p w14:paraId="399DB0CF" w14:textId="77777777" w:rsidR="009A646B" w:rsidRDefault="009A646B" w:rsidP="009A646B">
      <w:r>
        <w:t>L’espace ouvert des Ardennes flamandes fait l’objet d'une pression : les zones naturelles et forestières sont fort morcelées, la biodiversité y recule et certains développements agricoles portent atteinte à la valeur paysagère. Pour inverser cette tendance, le gouvernement flamand est en train d’établir des plans pour consolider la structure naturelle et forestière et protéger davantage les paysages de valeur. Nous déterminons également les régions maintenues pour l’agriculture.</w:t>
      </w:r>
    </w:p>
    <w:p w14:paraId="7194D33B" w14:textId="77777777" w:rsidR="009A646B" w:rsidRPr="00F16713" w:rsidRDefault="009A646B" w:rsidP="009A646B">
      <w:pPr>
        <w:rPr>
          <w:lang w:val="en-US"/>
        </w:rPr>
      </w:pPr>
    </w:p>
    <w:p w14:paraId="75787D0F" w14:textId="77777777" w:rsidR="009A646B" w:rsidRPr="009A646B" w:rsidRDefault="009A646B" w:rsidP="009A646B">
      <w:pPr>
        <w:rPr>
          <w:b/>
          <w:i/>
        </w:rPr>
      </w:pPr>
      <w:r>
        <w:rPr>
          <w:b/>
          <w:i/>
        </w:rPr>
        <w:t>Une vision de l’agriculture, des paysages et du patrimoine</w:t>
      </w:r>
    </w:p>
    <w:p w14:paraId="2A62A7C1" w14:textId="77777777" w:rsidR="009A646B" w:rsidRPr="00F16713" w:rsidRDefault="009A646B" w:rsidP="009A646B">
      <w:pPr>
        <w:rPr>
          <w:lang w:val="en-US"/>
        </w:rPr>
      </w:pPr>
    </w:p>
    <w:p w14:paraId="25CA61F8" w14:textId="73331826" w:rsidR="009A646B" w:rsidRDefault="009A646B" w:rsidP="009A646B">
      <w:r>
        <w:t>Lors de l’élaboration des plans de reboisement, nous tenons compte des paysages et panoramas caractéristiques, comme Kluisberg et Koppenberg. Nous étudions comment consolider les atouts du paysage des Ardennes flamandes et où préserver les espaces verts pour l’agriculture, à la mesure du paysage. De cette manière, nous offrons aux agriculteurs plus de clarté sur les zones qui seront à l’avenir réservées à l’agriculture.</w:t>
      </w:r>
    </w:p>
    <w:p w14:paraId="0A3259FA" w14:textId="48B27C26" w:rsidR="00F16713" w:rsidRDefault="00F16713" w:rsidP="009A646B"/>
    <w:tbl>
      <w:tblPr>
        <w:tblStyle w:val="Tabelraster"/>
        <w:tblW w:w="0" w:type="auto"/>
        <w:tblLook w:val="04A0" w:firstRow="1" w:lastRow="0" w:firstColumn="1" w:lastColumn="0" w:noHBand="0" w:noVBand="1"/>
      </w:tblPr>
      <w:tblGrid>
        <w:gridCol w:w="4528"/>
        <w:gridCol w:w="4528"/>
      </w:tblGrid>
      <w:tr w:rsidR="00F16713" w14:paraId="263BEF93" w14:textId="77777777" w:rsidTr="00BC2496">
        <w:tc>
          <w:tcPr>
            <w:tcW w:w="9056" w:type="dxa"/>
            <w:gridSpan w:val="2"/>
          </w:tcPr>
          <w:p w14:paraId="101C3C24" w14:textId="77777777" w:rsidR="00F16713" w:rsidRDefault="00F16713" w:rsidP="00BC2496">
            <w:r>
              <w:t>Quels sont les objectifs ?</w:t>
            </w:r>
          </w:p>
        </w:tc>
      </w:tr>
      <w:tr w:rsidR="00F16713" w:rsidRPr="00661467" w14:paraId="7B15F8B6" w14:textId="77777777" w:rsidTr="00BC2496">
        <w:tc>
          <w:tcPr>
            <w:tcW w:w="4528" w:type="dxa"/>
          </w:tcPr>
          <w:p w14:paraId="6462913F" w14:textId="77777777" w:rsidR="00F16713" w:rsidRPr="00661467" w:rsidRDefault="00F16713" w:rsidP="00BC2496">
            <w:pPr>
              <w:rPr>
                <w:b/>
              </w:rPr>
            </w:pPr>
            <w:r>
              <w:rPr>
                <w:b/>
              </w:rPr>
              <w:t>Consolider les atouts paysagers</w:t>
            </w:r>
          </w:p>
          <w:p w14:paraId="346B1C97" w14:textId="77777777" w:rsidR="00F16713" w:rsidRDefault="00F16713" w:rsidP="00F16713">
            <w:pPr>
              <w:pStyle w:val="Lijstalinea"/>
              <w:numPr>
                <w:ilvl w:val="0"/>
                <w:numId w:val="2"/>
              </w:numPr>
            </w:pPr>
            <w:r>
              <w:t>Étendre et relier les forêts</w:t>
            </w:r>
          </w:p>
          <w:p w14:paraId="0C34AC9E" w14:textId="77777777" w:rsidR="00F16713" w:rsidRDefault="00F16713" w:rsidP="00F16713">
            <w:pPr>
              <w:pStyle w:val="Lijstalinea"/>
              <w:numPr>
                <w:ilvl w:val="0"/>
                <w:numId w:val="2"/>
              </w:numPr>
            </w:pPr>
            <w:r>
              <w:t>Protéger les paysages et panoramas typiques</w:t>
            </w:r>
          </w:p>
          <w:p w14:paraId="5BCEE21E" w14:textId="77777777" w:rsidR="00F16713" w:rsidRPr="00661467" w:rsidRDefault="00F16713" w:rsidP="00F16713">
            <w:pPr>
              <w:pStyle w:val="Lijstalinea"/>
              <w:numPr>
                <w:ilvl w:val="0"/>
                <w:numId w:val="2"/>
              </w:numPr>
            </w:pPr>
            <w:r>
              <w:t>Offrir une perspective d’avenir durable à l’agriculture</w:t>
            </w:r>
          </w:p>
        </w:tc>
        <w:tc>
          <w:tcPr>
            <w:tcW w:w="4528" w:type="dxa"/>
          </w:tcPr>
          <w:p w14:paraId="2AC585FF" w14:textId="77777777" w:rsidR="00F16713" w:rsidRPr="00661467" w:rsidRDefault="00F16713" w:rsidP="00BC2496">
            <w:pPr>
              <w:rPr>
                <w:b/>
              </w:rPr>
            </w:pPr>
            <w:r>
              <w:rPr>
                <w:b/>
              </w:rPr>
              <w:t>Aborder les problèmes de la région</w:t>
            </w:r>
          </w:p>
          <w:p w14:paraId="76B24D18" w14:textId="77777777" w:rsidR="00F16713" w:rsidRDefault="00F16713" w:rsidP="00F16713">
            <w:pPr>
              <w:pStyle w:val="Lijstalinea"/>
              <w:numPr>
                <w:ilvl w:val="0"/>
                <w:numId w:val="2"/>
              </w:numPr>
            </w:pPr>
            <w:r>
              <w:t>Créer des espaces verts plus accessibles</w:t>
            </w:r>
          </w:p>
          <w:p w14:paraId="31447A2C" w14:textId="77777777" w:rsidR="00F16713" w:rsidRDefault="00F16713" w:rsidP="00F16713">
            <w:pPr>
              <w:pStyle w:val="Lijstalinea"/>
              <w:numPr>
                <w:ilvl w:val="0"/>
                <w:numId w:val="2"/>
              </w:numPr>
            </w:pPr>
            <w:r>
              <w:t>Relier la nature morcelée</w:t>
            </w:r>
          </w:p>
          <w:p w14:paraId="2B0FA58E" w14:textId="77777777" w:rsidR="00F16713" w:rsidRDefault="00F16713" w:rsidP="00F16713">
            <w:pPr>
              <w:pStyle w:val="Lijstalinea"/>
              <w:numPr>
                <w:ilvl w:val="0"/>
                <w:numId w:val="2"/>
              </w:numPr>
            </w:pPr>
            <w:r>
              <w:t>Réparer la biodiversité</w:t>
            </w:r>
          </w:p>
          <w:p w14:paraId="124EFB93" w14:textId="77777777" w:rsidR="00F16713" w:rsidRPr="00661467" w:rsidRDefault="00F16713" w:rsidP="00F16713">
            <w:pPr>
              <w:pStyle w:val="Lijstalinea"/>
              <w:numPr>
                <w:ilvl w:val="0"/>
                <w:numId w:val="2"/>
              </w:numPr>
            </w:pPr>
            <w:r>
              <w:t>Accroître la qualité du sol et de l’eau</w:t>
            </w:r>
          </w:p>
        </w:tc>
      </w:tr>
    </w:tbl>
    <w:p w14:paraId="02519DB8" w14:textId="77777777" w:rsidR="00F16713" w:rsidRDefault="00F16713" w:rsidP="009A646B"/>
    <w:p w14:paraId="601D2C2D" w14:textId="77777777" w:rsidR="00D57DC9" w:rsidRPr="00F16713" w:rsidRDefault="00D57DC9" w:rsidP="009A646B">
      <w:pPr>
        <w:rPr>
          <w:lang w:val="nl-BE"/>
        </w:rPr>
      </w:pPr>
    </w:p>
    <w:tbl>
      <w:tblPr>
        <w:tblStyle w:val="Tabelraster"/>
        <w:tblW w:w="0" w:type="auto"/>
        <w:tblLook w:val="04A0" w:firstRow="1" w:lastRow="0" w:firstColumn="1" w:lastColumn="0" w:noHBand="0" w:noVBand="1"/>
      </w:tblPr>
      <w:tblGrid>
        <w:gridCol w:w="9056"/>
      </w:tblGrid>
      <w:tr w:rsidR="00D57DC9" w14:paraId="38E4701A" w14:textId="77777777" w:rsidTr="00D57DC9">
        <w:tc>
          <w:tcPr>
            <w:tcW w:w="9056" w:type="dxa"/>
          </w:tcPr>
          <w:p w14:paraId="30DD67D0" w14:textId="3A3E4ED8" w:rsidR="00D57DC9" w:rsidRDefault="00D57DC9" w:rsidP="00D57DC9">
            <w:r>
              <w:lastRenderedPageBreak/>
              <w:t xml:space="preserve">La délimitation des régions de la structure naturelle et agraire autour de Renaix est le fruit d’une collaboration entre différentes parties : le Departement Omgeving, le  Departement Landbouw en Visserij, l’Agentschap voor </w:t>
            </w:r>
            <w:proofErr w:type="spellStart"/>
            <w:r>
              <w:t>Natuur</w:t>
            </w:r>
            <w:proofErr w:type="spellEnd"/>
            <w:r>
              <w:t xml:space="preserve"> en Bos, l’</w:t>
            </w:r>
            <w:proofErr w:type="spellStart"/>
            <w:r>
              <w:t>Agentschap</w:t>
            </w:r>
            <w:proofErr w:type="spellEnd"/>
            <w:r w:rsidR="00CB5357">
              <w:t xml:space="preserve"> </w:t>
            </w:r>
            <w:proofErr w:type="spellStart"/>
            <w:r>
              <w:t>Onroerend</w:t>
            </w:r>
            <w:proofErr w:type="spellEnd"/>
            <w:r>
              <w:t xml:space="preserve"> </w:t>
            </w:r>
            <w:proofErr w:type="spellStart"/>
            <w:r>
              <w:t>Erfgoed</w:t>
            </w:r>
            <w:proofErr w:type="spellEnd"/>
            <w:r>
              <w:t>, l’</w:t>
            </w:r>
            <w:proofErr w:type="spellStart"/>
            <w:r>
              <w:t>Instituut</w:t>
            </w:r>
            <w:proofErr w:type="spellEnd"/>
            <w:r>
              <w:t xml:space="preserve"> voor Natuur- en Bosonderzoek et De Werkvennootschap.</w:t>
            </w:r>
          </w:p>
        </w:tc>
      </w:tr>
    </w:tbl>
    <w:p w14:paraId="2EAD719C" w14:textId="77777777" w:rsidR="00D57DC9" w:rsidRDefault="00D57DC9" w:rsidP="009A646B">
      <w:pPr>
        <w:rPr>
          <w:lang w:val="nl-NL"/>
        </w:rPr>
      </w:pPr>
    </w:p>
    <w:tbl>
      <w:tblPr>
        <w:tblStyle w:val="Tabelraster"/>
        <w:tblW w:w="0" w:type="auto"/>
        <w:tblLook w:val="04A0" w:firstRow="1" w:lastRow="0" w:firstColumn="1" w:lastColumn="0" w:noHBand="0" w:noVBand="1"/>
      </w:tblPr>
      <w:tblGrid>
        <w:gridCol w:w="9056"/>
      </w:tblGrid>
      <w:tr w:rsidR="002B6E96" w14:paraId="5627A4CD" w14:textId="77777777" w:rsidTr="002B6E96">
        <w:tc>
          <w:tcPr>
            <w:tcW w:w="9056" w:type="dxa"/>
          </w:tcPr>
          <w:p w14:paraId="23B8A3BD" w14:textId="77777777" w:rsidR="00205EE1" w:rsidRDefault="002B6E96" w:rsidP="002B6E96">
            <w:pPr>
              <w:autoSpaceDE w:val="0"/>
              <w:autoSpaceDN w:val="0"/>
              <w:adjustRightInd w:val="0"/>
              <w:rPr>
                <w:color w:val="000000" w:themeColor="text1"/>
              </w:rPr>
            </w:pPr>
            <w:r>
              <w:rPr>
                <w:color w:val="000000" w:themeColor="text1"/>
              </w:rPr>
              <w:t xml:space="preserve">La délimitation des zones de la structure naturelle et agraire autour de Kluisberg, Muziekberg et Koppenberg s’inscrit dans le cadre du projet « Rond Ronse ». Dans le cadre de ce processus, nous cherchons des solutions pour la problématique de la qualité de vie et de la mobilité dans Renaix et ses alentours. Vu que l’un ne peut être pris en compte sans l’autre, les deux font partie d’un seul processus de plan. </w:t>
            </w:r>
          </w:p>
          <w:p w14:paraId="0E705CBC" w14:textId="77777777" w:rsidR="00205EE1" w:rsidRDefault="00205EE1" w:rsidP="002B6E96">
            <w:pPr>
              <w:autoSpaceDE w:val="0"/>
              <w:autoSpaceDN w:val="0"/>
              <w:adjustRightInd w:val="0"/>
              <w:rPr>
                <w:color w:val="000000" w:themeColor="text1"/>
              </w:rPr>
            </w:pPr>
          </w:p>
          <w:p w14:paraId="4EEC312F" w14:textId="7D6E6046" w:rsidR="002B6E96" w:rsidRPr="002B6E96" w:rsidRDefault="002B6E96" w:rsidP="002B6E96">
            <w:pPr>
              <w:autoSpaceDE w:val="0"/>
              <w:autoSpaceDN w:val="0"/>
              <w:adjustRightInd w:val="0"/>
              <w:rPr>
                <w:rFonts w:cstheme="minorHAnsi"/>
                <w:color w:val="000000" w:themeColor="text1"/>
              </w:rPr>
            </w:pPr>
            <w:r>
              <w:rPr>
                <w:color w:val="000000" w:themeColor="text1"/>
              </w:rPr>
              <w:t>Une autre brochure se concentre sur la problématique de la qualité de vie et de la mobilité. Vous la trouverez sur www.RondRonse.be.</w:t>
            </w:r>
          </w:p>
        </w:tc>
      </w:tr>
    </w:tbl>
    <w:p w14:paraId="49EA2650" w14:textId="77777777" w:rsidR="002B6E96" w:rsidRPr="00F16713" w:rsidRDefault="002B6E96" w:rsidP="009A646B"/>
    <w:p w14:paraId="68B91BBE" w14:textId="77777777" w:rsidR="00205EE1" w:rsidRDefault="00205EE1" w:rsidP="00205EE1">
      <w:pPr>
        <w:pBdr>
          <w:bottom w:val="single" w:sz="6" w:space="1" w:color="auto"/>
        </w:pBdr>
        <w:rPr>
          <w:b/>
          <w:sz w:val="32"/>
        </w:rPr>
      </w:pPr>
    </w:p>
    <w:p w14:paraId="781848EF" w14:textId="77777777" w:rsidR="00205EE1" w:rsidRDefault="00205EE1" w:rsidP="00205EE1">
      <w:pPr>
        <w:rPr>
          <w:b/>
          <w:sz w:val="32"/>
        </w:rPr>
      </w:pPr>
    </w:p>
    <w:p w14:paraId="1E0D9DF4" w14:textId="77777777" w:rsidR="00205EE1" w:rsidRDefault="00205EE1" w:rsidP="00205EE1">
      <w:pPr>
        <w:rPr>
          <w:b/>
          <w:sz w:val="32"/>
        </w:rPr>
      </w:pPr>
      <w:r>
        <w:rPr>
          <w:b/>
          <w:sz w:val="32"/>
        </w:rPr>
        <w:t>Plus de forêts pour les Ardennes flamandes</w:t>
      </w:r>
    </w:p>
    <w:p w14:paraId="0B71665F" w14:textId="77777777" w:rsidR="00205EE1" w:rsidRPr="00205EE1" w:rsidRDefault="00205EE1" w:rsidP="00205EE1">
      <w:pPr>
        <w:rPr>
          <w:b/>
          <w:sz w:val="32"/>
          <w:lang w:val="en-US"/>
        </w:rPr>
      </w:pPr>
    </w:p>
    <w:p w14:paraId="1870FDFD" w14:textId="77777777" w:rsidR="00205EE1" w:rsidRDefault="00205EE1" w:rsidP="00205EE1">
      <w:pPr>
        <w:rPr>
          <w:b/>
        </w:rPr>
      </w:pPr>
      <w:r>
        <w:rPr>
          <w:b/>
        </w:rPr>
        <w:t>Dans le groupe de travail « </w:t>
      </w:r>
      <w:proofErr w:type="spellStart"/>
      <w:r>
        <w:rPr>
          <w:b/>
        </w:rPr>
        <w:t>Vlaamse</w:t>
      </w:r>
      <w:proofErr w:type="spellEnd"/>
      <w:r>
        <w:rPr>
          <w:b/>
        </w:rPr>
        <w:t xml:space="preserve"> </w:t>
      </w:r>
      <w:proofErr w:type="spellStart"/>
      <w:r>
        <w:rPr>
          <w:b/>
        </w:rPr>
        <w:t>Ardennen</w:t>
      </w:r>
      <w:proofErr w:type="spellEnd"/>
      <w:r>
        <w:rPr>
          <w:b/>
        </w:rPr>
        <w:t xml:space="preserve">: rond </w:t>
      </w:r>
      <w:proofErr w:type="spellStart"/>
      <w:r>
        <w:rPr>
          <w:b/>
        </w:rPr>
        <w:t>Kluisberg</w:t>
      </w:r>
      <w:proofErr w:type="spellEnd"/>
      <w:r>
        <w:rPr>
          <w:b/>
        </w:rPr>
        <w:t xml:space="preserve">, </w:t>
      </w:r>
      <w:proofErr w:type="spellStart"/>
      <w:r>
        <w:rPr>
          <w:b/>
        </w:rPr>
        <w:t>Muziekberg</w:t>
      </w:r>
      <w:proofErr w:type="spellEnd"/>
      <w:r>
        <w:rPr>
          <w:b/>
        </w:rPr>
        <w:t xml:space="preserve"> en </w:t>
      </w:r>
      <w:proofErr w:type="spellStart"/>
      <w:r>
        <w:rPr>
          <w:b/>
        </w:rPr>
        <w:t>Koppenberg</w:t>
      </w:r>
      <w:proofErr w:type="spellEnd"/>
      <w:r>
        <w:rPr>
          <w:b/>
        </w:rPr>
        <w:t xml:space="preserve"> », nous travaillons sur la consolidation des éléments naturels et paysagers de valeur à </w:t>
      </w:r>
      <w:proofErr w:type="spellStart"/>
      <w:r>
        <w:rPr>
          <w:b/>
        </w:rPr>
        <w:t>Kluisbergen</w:t>
      </w:r>
      <w:proofErr w:type="spellEnd"/>
      <w:r>
        <w:rPr>
          <w:b/>
        </w:rPr>
        <w:t xml:space="preserve">, </w:t>
      </w:r>
      <w:proofErr w:type="spellStart"/>
      <w:r>
        <w:rPr>
          <w:b/>
        </w:rPr>
        <w:t>Maarkedal</w:t>
      </w:r>
      <w:proofErr w:type="spellEnd"/>
      <w:r>
        <w:rPr>
          <w:b/>
        </w:rPr>
        <w:t>, Oudenaarde et Renaix. Prévoir un espace pour une forêt supplémentaire est l’une des principales ambitions.</w:t>
      </w:r>
    </w:p>
    <w:p w14:paraId="41CCA495" w14:textId="77777777" w:rsidR="00205EE1" w:rsidRPr="00205EE1" w:rsidRDefault="00205EE1" w:rsidP="00205EE1">
      <w:pPr>
        <w:rPr>
          <w:b/>
          <w:lang w:val="en-US"/>
        </w:rPr>
      </w:pPr>
    </w:p>
    <w:p w14:paraId="62D2C184" w14:textId="77777777" w:rsidR="00205EE1" w:rsidRDefault="00205EE1" w:rsidP="00205EE1">
      <w:r>
        <w:t xml:space="preserve">Cette extension de la forêt fait partie de la réalisation des objectifs faune de l’Europe. Ces objectifs entendent lutter contre le morcellement de la nature et augmenter la biodiversité dans des zones naturelles. Les zones </w:t>
      </w:r>
      <w:proofErr w:type="spellStart"/>
      <w:r>
        <w:t>Natura</w:t>
      </w:r>
      <w:proofErr w:type="spellEnd"/>
      <w:r>
        <w:t xml:space="preserve"> 2000 - des sites naturels ayant une grande valeur patrimoniale - autour de </w:t>
      </w:r>
      <w:proofErr w:type="spellStart"/>
      <w:r>
        <w:t>Kluisberg</w:t>
      </w:r>
      <w:proofErr w:type="spellEnd"/>
      <w:r>
        <w:t xml:space="preserve">, </w:t>
      </w:r>
      <w:proofErr w:type="spellStart"/>
      <w:r>
        <w:t>Muziekberg</w:t>
      </w:r>
      <w:proofErr w:type="spellEnd"/>
      <w:r>
        <w:t xml:space="preserve"> et </w:t>
      </w:r>
      <w:proofErr w:type="spellStart"/>
      <w:r>
        <w:t>Koppenberg</w:t>
      </w:r>
      <w:proofErr w:type="spellEnd"/>
      <w:r>
        <w:t xml:space="preserve"> doivent dès lors être renforcées. Pour la ceinture forestière </w:t>
      </w:r>
      <w:proofErr w:type="spellStart"/>
      <w:r>
        <w:t>Kluisberg</w:t>
      </w:r>
      <w:proofErr w:type="spellEnd"/>
      <w:r>
        <w:t>-Hotondberg-</w:t>
      </w:r>
      <w:proofErr w:type="spellStart"/>
      <w:r>
        <w:t>Koppenberg</w:t>
      </w:r>
      <w:proofErr w:type="spellEnd"/>
      <w:r>
        <w:t xml:space="preserve">, environ 250 hectares de forêt devront s’ajouter, contre environ 100 hectares pour le </w:t>
      </w:r>
      <w:proofErr w:type="spellStart"/>
      <w:r>
        <w:t>Muziekbos</w:t>
      </w:r>
      <w:proofErr w:type="spellEnd"/>
      <w:r>
        <w:t>.</w:t>
      </w:r>
    </w:p>
    <w:p w14:paraId="4A56D98B" w14:textId="77777777" w:rsidR="00205EE1" w:rsidRPr="00373E38" w:rsidRDefault="00205EE1" w:rsidP="00205EE1">
      <w:pPr>
        <w:rPr>
          <w:lang w:val="nl-NL"/>
        </w:rPr>
      </w:pPr>
    </w:p>
    <w:p w14:paraId="00E47541" w14:textId="77777777" w:rsidR="00205EE1" w:rsidRDefault="00205EE1" w:rsidP="00205EE1">
      <w:pPr>
        <w:rPr>
          <w:b/>
          <w:i/>
        </w:rPr>
      </w:pPr>
      <w:r>
        <w:rPr>
          <w:b/>
          <w:i/>
        </w:rPr>
        <w:t>Zones de recherche pour l'extension de la forêt</w:t>
      </w:r>
    </w:p>
    <w:p w14:paraId="5772E43A" w14:textId="77777777" w:rsidR="00205EE1" w:rsidRPr="00373E38" w:rsidRDefault="00205EE1" w:rsidP="00205EE1">
      <w:pPr>
        <w:rPr>
          <w:b/>
          <w:i/>
          <w:lang w:val="nl-NL"/>
        </w:rPr>
      </w:pPr>
    </w:p>
    <w:p w14:paraId="6DAA65F4" w14:textId="77777777" w:rsidR="00205EE1" w:rsidRDefault="00205EE1" w:rsidP="00205EE1">
      <w:r>
        <w:t>La consolidation de la structure forestière est une mission importante. Pour déterminer l’emplacement de l’extension forestière, une carte de zone de recherche a été établie. Cette carte indique les zones qui peuvent entrer en ligne de compte pour le reboisement et seront davantage étudiées.</w:t>
      </w:r>
    </w:p>
    <w:p w14:paraId="3D1621A0" w14:textId="77777777" w:rsidR="00205EE1" w:rsidRPr="00205EE1" w:rsidRDefault="00205EE1" w:rsidP="00205EE1"/>
    <w:tbl>
      <w:tblPr>
        <w:tblStyle w:val="Tabelraster"/>
        <w:tblW w:w="0" w:type="auto"/>
        <w:tblLook w:val="04A0" w:firstRow="1" w:lastRow="0" w:firstColumn="1" w:lastColumn="0" w:noHBand="0" w:noVBand="1"/>
      </w:tblPr>
      <w:tblGrid>
        <w:gridCol w:w="9056"/>
      </w:tblGrid>
      <w:tr w:rsidR="00205EE1" w14:paraId="342CF785" w14:textId="77777777" w:rsidTr="00BC2496">
        <w:tc>
          <w:tcPr>
            <w:tcW w:w="9056" w:type="dxa"/>
          </w:tcPr>
          <w:p w14:paraId="58CFBA5A" w14:textId="46FDFF93" w:rsidR="00205EE1" w:rsidRDefault="00205EE1" w:rsidP="00BC2496">
            <w:r>
              <w:t>Au total, une centaine de zones de recherche ont été identifiées. Découvrez les zones de recherche sur</w:t>
            </w:r>
            <w:r>
              <w:t xml:space="preserve"> </w:t>
            </w:r>
            <w:r>
              <w:t>www.RondRonse.be/vlaamseardennen.</w:t>
            </w:r>
          </w:p>
        </w:tc>
      </w:tr>
    </w:tbl>
    <w:p w14:paraId="281A306C" w14:textId="5720A044" w:rsidR="00205EE1" w:rsidRPr="00205EE1" w:rsidRDefault="00205EE1" w:rsidP="00C55219">
      <w:pPr>
        <w:ind w:left="708"/>
        <w:rPr>
          <w:i/>
        </w:rPr>
      </w:pPr>
    </w:p>
    <w:tbl>
      <w:tblPr>
        <w:tblStyle w:val="Tabelraster"/>
        <w:tblW w:w="0" w:type="auto"/>
        <w:tblLook w:val="04A0" w:firstRow="1" w:lastRow="0" w:firstColumn="1" w:lastColumn="0" w:noHBand="0" w:noVBand="1"/>
      </w:tblPr>
      <w:tblGrid>
        <w:gridCol w:w="9056"/>
      </w:tblGrid>
      <w:tr w:rsidR="00205EE1" w14:paraId="726FA70C" w14:textId="77777777" w:rsidTr="00205EE1">
        <w:tc>
          <w:tcPr>
            <w:tcW w:w="9056" w:type="dxa"/>
          </w:tcPr>
          <w:p w14:paraId="6CCC3DE7" w14:textId="4EE88379" w:rsidR="00205EE1" w:rsidRPr="00205EE1" w:rsidRDefault="00205EE1" w:rsidP="00205EE1">
            <w:r>
              <w:t>L’extension des forêts est une priorité pour le gouvernement flamand. Dans les Ardennes flamandes, de nombreuses forêts ont disparu depuis le 18</w:t>
            </w:r>
            <w:r>
              <w:rPr>
                <w:vertAlign w:val="superscript"/>
              </w:rPr>
              <w:t>e</w:t>
            </w:r>
            <w:r>
              <w:t xml:space="preserve"> siècle. Ce qui fait que les forêts sont aujourd'hui morcelées dans la région, et que des espèces animales et végétales sont menacées de disparition. Une extension des forêts permettra d’avoir plus d’espaces verts, un environnement plus sain et une meilleure biodiversité. Une forêt plus vaste a également un effet positif sur la santé de tous, qu’elle soit physique ou mentale. C’est la </w:t>
            </w:r>
            <w:r>
              <w:lastRenderedPageBreak/>
              <w:t>raison pour laquelle nous avons plus que jamais besoin d’espaces verts supplémentaires autour</w:t>
            </w:r>
            <w:r>
              <w:t xml:space="preserve"> </w:t>
            </w:r>
            <w:r>
              <w:t xml:space="preserve">des ceintures forestières </w:t>
            </w:r>
            <w:proofErr w:type="spellStart"/>
            <w:r>
              <w:t>Kluisberg</w:t>
            </w:r>
            <w:proofErr w:type="spellEnd"/>
            <w:r>
              <w:t>-Hotondberg-</w:t>
            </w:r>
            <w:proofErr w:type="spellStart"/>
            <w:r>
              <w:t>Koppenberg</w:t>
            </w:r>
            <w:proofErr w:type="spellEnd"/>
            <w:r>
              <w:t xml:space="preserve"> et autour du </w:t>
            </w:r>
            <w:proofErr w:type="spellStart"/>
            <w:r>
              <w:t>Muziekbos</w:t>
            </w:r>
            <w:proofErr w:type="spellEnd"/>
          </w:p>
        </w:tc>
      </w:tr>
    </w:tbl>
    <w:p w14:paraId="19B12227" w14:textId="20C9B8E7" w:rsidR="00205EE1" w:rsidRDefault="00205EE1" w:rsidP="00205EE1">
      <w:pPr>
        <w:pBdr>
          <w:bottom w:val="single" w:sz="6" w:space="1" w:color="auto"/>
        </w:pBdr>
        <w:rPr>
          <w:sz w:val="48"/>
        </w:rPr>
      </w:pPr>
    </w:p>
    <w:p w14:paraId="650F56A2" w14:textId="75AA557B" w:rsidR="00B1129D" w:rsidRDefault="00B1129D" w:rsidP="00205EE1">
      <w:pPr>
        <w:rPr>
          <w:sz w:val="48"/>
        </w:rPr>
      </w:pPr>
    </w:p>
    <w:p w14:paraId="2F9C3B81" w14:textId="77777777" w:rsidR="008863C8" w:rsidRDefault="008863C8" w:rsidP="008863C8">
      <w:pPr>
        <w:rPr>
          <w:b/>
          <w:sz w:val="32"/>
        </w:rPr>
      </w:pPr>
      <w:r>
        <w:rPr>
          <w:b/>
          <w:sz w:val="32"/>
        </w:rPr>
        <w:t>Agriculture et extension de la forêt adaptées au paysage</w:t>
      </w:r>
    </w:p>
    <w:p w14:paraId="17A39563" w14:textId="77777777" w:rsidR="008863C8" w:rsidRPr="008863C8" w:rsidRDefault="008863C8" w:rsidP="008863C8">
      <w:pPr>
        <w:rPr>
          <w:b/>
          <w:sz w:val="32"/>
          <w:lang w:val="en-US"/>
        </w:rPr>
      </w:pPr>
    </w:p>
    <w:p w14:paraId="79A6C26A" w14:textId="77777777" w:rsidR="008863C8" w:rsidRPr="00532A98" w:rsidRDefault="008863C8" w:rsidP="008863C8">
      <w:pPr>
        <w:rPr>
          <w:b/>
        </w:rPr>
      </w:pPr>
      <w:r>
        <w:rPr>
          <w:b/>
        </w:rPr>
        <w:t xml:space="preserve">Les crêtes boisées, les coteaux ouverts et les panoramas de </w:t>
      </w:r>
      <w:proofErr w:type="spellStart"/>
      <w:r>
        <w:rPr>
          <w:b/>
        </w:rPr>
        <w:t>Kluisbergen</w:t>
      </w:r>
      <w:proofErr w:type="spellEnd"/>
      <w:r>
        <w:rPr>
          <w:b/>
        </w:rPr>
        <w:t xml:space="preserve">, </w:t>
      </w:r>
      <w:proofErr w:type="spellStart"/>
      <w:r>
        <w:rPr>
          <w:b/>
        </w:rPr>
        <w:t>Maarkedal</w:t>
      </w:r>
      <w:proofErr w:type="spellEnd"/>
      <w:r>
        <w:rPr>
          <w:b/>
        </w:rPr>
        <w:t>,</w:t>
      </w:r>
    </w:p>
    <w:p w14:paraId="0D7D5957" w14:textId="77777777" w:rsidR="008863C8" w:rsidRPr="00532A98" w:rsidRDefault="008863C8" w:rsidP="008863C8">
      <w:pPr>
        <w:rPr>
          <w:b/>
        </w:rPr>
      </w:pPr>
      <w:r>
        <w:rPr>
          <w:b/>
        </w:rPr>
        <w:t xml:space="preserve">Oudenaarde et Renaix constituent l’ADN de la région. Nous voulons préserver en tant qu’éléments précieux les panoramas de points situés en hauteur, comme le plateau de Nukerke, qui donne sur la Vallée de l’Escaut ou la crête de la colline de Hotond à </w:t>
      </w:r>
      <w:proofErr w:type="spellStart"/>
      <w:r>
        <w:rPr>
          <w:b/>
        </w:rPr>
        <w:t>Kluisberg</w:t>
      </w:r>
      <w:proofErr w:type="spellEnd"/>
      <w:r>
        <w:rPr>
          <w:b/>
        </w:rPr>
        <w:t xml:space="preserve"> qui surplombe les vallées de la </w:t>
      </w:r>
      <w:proofErr w:type="spellStart"/>
      <w:r>
        <w:rPr>
          <w:b/>
        </w:rPr>
        <w:t>Molenbeek</w:t>
      </w:r>
      <w:proofErr w:type="spellEnd"/>
      <w:r>
        <w:rPr>
          <w:b/>
        </w:rPr>
        <w:t xml:space="preserve"> et de la </w:t>
      </w:r>
      <w:proofErr w:type="spellStart"/>
      <w:r>
        <w:rPr>
          <w:b/>
        </w:rPr>
        <w:t>Rhosnes</w:t>
      </w:r>
      <w:proofErr w:type="spellEnd"/>
      <w:r>
        <w:rPr>
          <w:b/>
        </w:rPr>
        <w:t>.</w:t>
      </w:r>
    </w:p>
    <w:p w14:paraId="1CD929C3" w14:textId="77777777" w:rsidR="008863C8" w:rsidRPr="008863C8" w:rsidRDefault="008863C8" w:rsidP="008863C8"/>
    <w:p w14:paraId="5223D86F" w14:textId="77777777" w:rsidR="008863C8" w:rsidRDefault="008863C8" w:rsidP="008863C8">
      <w:r>
        <w:t>Le paysage caractéristique de la région se compose de chemins creux, de talus et de végétation en bordure de parcelles, comme des rangées d’arbres, des trognes et des haies. La variation entre bocage, forêts et complexes de champs ouverts détermine en large mesure l’identité du paysage des Ardennes flamandes.</w:t>
      </w:r>
    </w:p>
    <w:p w14:paraId="4432F5D0" w14:textId="77777777" w:rsidR="008863C8" w:rsidRPr="008863C8" w:rsidRDefault="008863C8" w:rsidP="008863C8"/>
    <w:p w14:paraId="720CFE15" w14:textId="77777777" w:rsidR="008863C8" w:rsidRPr="00532A98" w:rsidRDefault="008863C8" w:rsidP="008863C8">
      <w:r>
        <w:t>Le gouvernement flamand a décidé de rétablir les structures forestières historiques et de recréer des forêts dans la région. Il recherche en même temps un équilibre entre valeurs paysagères historiques et culturelles et écologiques et les fonctions économiques de l’espace ouvert, comme l’agriculture et la sylviculture. Ces aspects sont examinés en même temps et conjointement. Les plans pour la consolidation de la structure forestière tiendront dès lors compte de panoramas de valeur, de paysages et de l’impact sur les</w:t>
      </w:r>
    </w:p>
    <w:p w14:paraId="777C5D71" w14:textId="3175E1AB" w:rsidR="008863C8" w:rsidRDefault="008863C8" w:rsidP="008863C8">
      <w:r>
        <w:t>activités agricoles.</w:t>
      </w:r>
    </w:p>
    <w:p w14:paraId="125F1DB6" w14:textId="6603989F" w:rsidR="008863C8" w:rsidRDefault="008863C8" w:rsidP="008863C8"/>
    <w:tbl>
      <w:tblPr>
        <w:tblStyle w:val="Tabelraster"/>
        <w:tblW w:w="0" w:type="auto"/>
        <w:tblLook w:val="04A0" w:firstRow="1" w:lastRow="0" w:firstColumn="1" w:lastColumn="0" w:noHBand="0" w:noVBand="1"/>
      </w:tblPr>
      <w:tblGrid>
        <w:gridCol w:w="9056"/>
      </w:tblGrid>
      <w:tr w:rsidR="008863C8" w14:paraId="4E746B47" w14:textId="77777777" w:rsidTr="008863C8">
        <w:tc>
          <w:tcPr>
            <w:tcW w:w="9056" w:type="dxa"/>
          </w:tcPr>
          <w:p w14:paraId="1F31A42F" w14:textId="25876345" w:rsidR="008863C8" w:rsidRDefault="008863C8" w:rsidP="008863C8">
            <w:r>
              <w:t>Nous menons une politique spatiale dans le cadre de laquelle nous voulons veiller à ce que l’utilisation agricole soit adaptée aux vulnérabilités du paysage.</w:t>
            </w:r>
          </w:p>
        </w:tc>
      </w:tr>
    </w:tbl>
    <w:p w14:paraId="3302ECDF" w14:textId="681BB31C" w:rsidR="008863C8" w:rsidRDefault="008863C8" w:rsidP="008863C8">
      <w:pPr>
        <w:pBdr>
          <w:bottom w:val="single" w:sz="6" w:space="1" w:color="auto"/>
        </w:pBdr>
      </w:pPr>
    </w:p>
    <w:p w14:paraId="09B3327C" w14:textId="5AE93D71" w:rsidR="008863C8" w:rsidRDefault="008863C8" w:rsidP="008863C8">
      <w:pPr>
        <w:pBdr>
          <w:bottom w:val="single" w:sz="6" w:space="1" w:color="auto"/>
        </w:pBdr>
      </w:pPr>
    </w:p>
    <w:p w14:paraId="40E708AB" w14:textId="7A44622F" w:rsidR="003321EE" w:rsidRDefault="003321EE" w:rsidP="008863C8">
      <w:pPr>
        <w:pBdr>
          <w:bottom w:val="single" w:sz="6" w:space="1" w:color="auto"/>
        </w:pBdr>
      </w:pPr>
    </w:p>
    <w:p w14:paraId="2C778BA7" w14:textId="77777777" w:rsidR="003321EE" w:rsidRDefault="003321EE" w:rsidP="008863C8">
      <w:pPr>
        <w:pBdr>
          <w:bottom w:val="single" w:sz="6" w:space="1" w:color="auto"/>
        </w:pBdr>
      </w:pPr>
    </w:p>
    <w:p w14:paraId="0F165DDD" w14:textId="77777777" w:rsidR="008863C8" w:rsidRDefault="008863C8" w:rsidP="008863C8"/>
    <w:p w14:paraId="09831A32" w14:textId="21B11044" w:rsidR="00B1129D" w:rsidRPr="00205EE1" w:rsidRDefault="00B1129D" w:rsidP="00205EE1">
      <w:pPr>
        <w:rPr>
          <w:sz w:val="48"/>
        </w:rPr>
      </w:pPr>
    </w:p>
    <w:p w14:paraId="36CC9CBC" w14:textId="7F6C75C7" w:rsidR="00C55219" w:rsidRPr="00CB5357" w:rsidRDefault="00C55219" w:rsidP="00C55219">
      <w:pPr>
        <w:ind w:left="708"/>
        <w:rPr>
          <w:i/>
          <w:sz w:val="48"/>
        </w:rPr>
      </w:pPr>
      <w:r w:rsidRPr="00CB5357">
        <w:rPr>
          <w:i/>
          <w:sz w:val="48"/>
        </w:rPr>
        <w:t>« Offrir une clarté sur les régions qui resteront réservées à l’agriculture ».</w:t>
      </w:r>
    </w:p>
    <w:p w14:paraId="62A5B1AF" w14:textId="77777777" w:rsidR="00C55219" w:rsidRPr="00F16713" w:rsidRDefault="00C55219" w:rsidP="00C55219">
      <w:pPr>
        <w:ind w:left="708"/>
        <w:rPr>
          <w:i/>
          <w:lang w:val="en-US"/>
        </w:rPr>
      </w:pPr>
    </w:p>
    <w:p w14:paraId="099E7B2B" w14:textId="77777777" w:rsidR="00C55219" w:rsidRPr="00F16713" w:rsidRDefault="00C55219" w:rsidP="00C55219">
      <w:pPr>
        <w:pBdr>
          <w:bottom w:val="single" w:sz="6" w:space="1" w:color="auto"/>
        </w:pBdr>
        <w:rPr>
          <w:lang w:val="en-US"/>
        </w:rPr>
      </w:pPr>
    </w:p>
    <w:p w14:paraId="452E0509" w14:textId="11841618" w:rsidR="003321EE" w:rsidRDefault="003321EE" w:rsidP="00C55219">
      <w:pPr>
        <w:rPr>
          <w:lang w:val="en-US"/>
        </w:rPr>
      </w:pPr>
    </w:p>
    <w:p w14:paraId="135058CF" w14:textId="0C6BB89F" w:rsidR="003321EE" w:rsidRDefault="003321EE" w:rsidP="00C55219">
      <w:pPr>
        <w:rPr>
          <w:lang w:val="en-US"/>
        </w:rPr>
      </w:pPr>
    </w:p>
    <w:p w14:paraId="1B9660D0" w14:textId="730CD61D" w:rsidR="003321EE" w:rsidRDefault="003321EE" w:rsidP="00C55219">
      <w:pPr>
        <w:rPr>
          <w:lang w:val="en-US"/>
        </w:rPr>
      </w:pPr>
    </w:p>
    <w:p w14:paraId="19A42D12" w14:textId="77777777" w:rsidR="00515BD9" w:rsidRPr="00515BD9" w:rsidRDefault="00515BD9" w:rsidP="00C55219">
      <w:pPr>
        <w:rPr>
          <w:b/>
          <w:sz w:val="32"/>
        </w:rPr>
      </w:pPr>
      <w:r>
        <w:rPr>
          <w:b/>
          <w:sz w:val="32"/>
        </w:rPr>
        <w:lastRenderedPageBreak/>
        <w:t>Période de participation et étapes suivantes du processus</w:t>
      </w:r>
    </w:p>
    <w:p w14:paraId="4A61C60F" w14:textId="77777777" w:rsidR="00515BD9" w:rsidRPr="00F16713" w:rsidRDefault="00515BD9" w:rsidP="00C55219">
      <w:pPr>
        <w:rPr>
          <w:lang w:val="en-US"/>
        </w:rPr>
      </w:pPr>
    </w:p>
    <w:p w14:paraId="23F801F8" w14:textId="77777777" w:rsidR="00515BD9" w:rsidRDefault="00515BD9" w:rsidP="00515BD9">
      <w:pPr>
        <w:rPr>
          <w:b/>
        </w:rPr>
      </w:pPr>
      <w:r>
        <w:rPr>
          <w:b/>
        </w:rPr>
        <w:t>Nous étudions l’espace ouvert autour de Kluisbergen, Maarkedal et Oudenaarde avec soin. Nous le faisons dans le cadre d’un dialogue et avec ouverture avec toutes les parties concernées et environnantes. Après une nouvelle période de participation, quelques études cruciales auront lieu. Ce n’est qu’alors que nous pourrons décider de l’emplacement du reboisement, de sa signification pour l’agriculture et des paysages que nous voulons protéger.</w:t>
      </w:r>
    </w:p>
    <w:p w14:paraId="7C705CBC" w14:textId="77777777" w:rsidR="00515BD9" w:rsidRPr="00F16713" w:rsidRDefault="00515BD9" w:rsidP="00515BD9">
      <w:pPr>
        <w:rPr>
          <w:b/>
          <w:lang w:val="en-US"/>
        </w:rPr>
      </w:pPr>
    </w:p>
    <w:p w14:paraId="7DA289BC" w14:textId="77777777" w:rsidR="00515BD9" w:rsidRPr="00515BD9" w:rsidRDefault="00515BD9" w:rsidP="00515BD9">
      <w:pPr>
        <w:rPr>
          <w:b/>
          <w:i/>
        </w:rPr>
      </w:pPr>
      <w:r>
        <w:rPr>
          <w:b/>
          <w:i/>
        </w:rPr>
        <w:t>Étapes suivantes :</w:t>
      </w:r>
    </w:p>
    <w:p w14:paraId="5F8AF1CC" w14:textId="77777777" w:rsidR="00515BD9" w:rsidRPr="00F16713" w:rsidRDefault="00515BD9" w:rsidP="00515BD9">
      <w:pPr>
        <w:rPr>
          <w:lang w:val="en-US"/>
        </w:rPr>
      </w:pPr>
    </w:p>
    <w:p w14:paraId="48879DF4" w14:textId="2E4E7249" w:rsidR="00515BD9" w:rsidRDefault="00515BD9" w:rsidP="00515BD9">
      <w:r>
        <w:t>Le 12 janvier, une nouvelle période de participation a démarré dans le cadre du projet « Rond Ronse ». Vous</w:t>
      </w:r>
      <w:r w:rsidR="003321EE">
        <w:t xml:space="preserve"> </w:t>
      </w:r>
      <w:r>
        <w:t>pouvez jusqu’au 12 mars inclus partager vos idées à propos de la délimitation des</w:t>
      </w:r>
      <w:r w:rsidR="003321EE">
        <w:t xml:space="preserve"> </w:t>
      </w:r>
      <w:r>
        <w:t>zones de la structure naturelle et agraire.</w:t>
      </w:r>
    </w:p>
    <w:p w14:paraId="15C3659F" w14:textId="77777777" w:rsidR="00515BD9" w:rsidRPr="003321EE" w:rsidRDefault="00515BD9" w:rsidP="00515BD9"/>
    <w:tbl>
      <w:tblPr>
        <w:tblStyle w:val="Tabelraster"/>
        <w:tblW w:w="0" w:type="auto"/>
        <w:tblLook w:val="04A0" w:firstRow="1" w:lastRow="0" w:firstColumn="1" w:lastColumn="0" w:noHBand="0" w:noVBand="1"/>
      </w:tblPr>
      <w:tblGrid>
        <w:gridCol w:w="9056"/>
      </w:tblGrid>
      <w:tr w:rsidR="00515BD9" w14:paraId="176E81AE" w14:textId="77777777" w:rsidTr="00515BD9">
        <w:tc>
          <w:tcPr>
            <w:tcW w:w="9056" w:type="dxa"/>
          </w:tcPr>
          <w:p w14:paraId="041E3F49" w14:textId="4AFE8750" w:rsidR="00515BD9" w:rsidRDefault="00515BD9" w:rsidP="00515BD9">
            <w:r>
              <w:t>La deuxième version de la note de cadrage a été publiée. Et nous aimerions connaître votre avis à son sujet. Vous trouverez dans la note la carte de zone de recherche qui rassemble tous les lieux où nous allons étudier si une extension de la forêt est possible. Vous y trouverez également les alternatives de mobilité qui devraient apporter une solution à la problématique du trafic et de qualité de vie dans Renaix et ses alentours. Dans l’une des annexes de la note, vous découvrirez comment nous avons géré les réactions à la première note de cadrage. Vous voulez consulter la note de cadrage ou partager une nouvelle réaction ? Découvrez comment faire sur</w:t>
            </w:r>
            <w:r w:rsidR="003321EE">
              <w:t xml:space="preserve"> </w:t>
            </w:r>
            <w:r>
              <w:t>www.RondRonse.be/scopingnota.</w:t>
            </w:r>
          </w:p>
        </w:tc>
      </w:tr>
    </w:tbl>
    <w:p w14:paraId="05719F7F" w14:textId="77777777" w:rsidR="00515BD9" w:rsidRPr="00F16713" w:rsidRDefault="00515BD9" w:rsidP="00515BD9"/>
    <w:p w14:paraId="73006FD9" w14:textId="77777777" w:rsidR="00515BD9" w:rsidRPr="00515BD9" w:rsidRDefault="00515BD9" w:rsidP="00515BD9">
      <w:r>
        <w:t>Les alternatives à la problématique de mobilité et les zones de recherche seront évaluées</w:t>
      </w:r>
    </w:p>
    <w:p w14:paraId="72CFD82E" w14:textId="77777777" w:rsidR="00515BD9" w:rsidRPr="00515BD9" w:rsidRDefault="00515BD9" w:rsidP="00515BD9">
      <w:r>
        <w:t>dans une prochaine étape. Il y sera procédé par le biais de différentes études.</w:t>
      </w:r>
    </w:p>
    <w:p w14:paraId="2AA562C2" w14:textId="77777777" w:rsidR="00515BD9" w:rsidRPr="00F16713" w:rsidRDefault="00515BD9" w:rsidP="00515BD9"/>
    <w:p w14:paraId="5863B5E0" w14:textId="574C8A21" w:rsidR="00515BD9" w:rsidRPr="00515BD9" w:rsidRDefault="00515BD9" w:rsidP="00515BD9">
      <w:r>
        <w:t>Une étude d’impact sur l’environnement (EIE) sera réalisée, qui étudie l’impact de la solution de mobilité possible et des zones de recherche sur l’air, le bruit, la lumière,</w:t>
      </w:r>
      <w:r w:rsidR="003321EE">
        <w:t xml:space="preserve"> </w:t>
      </w:r>
      <w:r>
        <w:t>la biodiversité, etc.</w:t>
      </w:r>
    </w:p>
    <w:p w14:paraId="04453EBA" w14:textId="77777777" w:rsidR="00515BD9" w:rsidRPr="00F16713" w:rsidRDefault="00515BD9" w:rsidP="00515BD9"/>
    <w:p w14:paraId="212754BF" w14:textId="68AE6A24" w:rsidR="00515BD9" w:rsidRPr="00515BD9" w:rsidRDefault="00515BD9" w:rsidP="00515BD9">
      <w:r>
        <w:t>Une étude d’impact agricole (EIA) se penchera ensuite sur l’impact</w:t>
      </w:r>
      <w:r w:rsidR="003321EE">
        <w:t xml:space="preserve"> </w:t>
      </w:r>
      <w:r>
        <w:t>des différentes alternatives, aussi bien les alternatives de mobilité que les zones de recherche,</w:t>
      </w:r>
      <w:r w:rsidR="003321EE">
        <w:t xml:space="preserve"> </w:t>
      </w:r>
      <w:r>
        <w:t>sur la pratique agricole dans la région. L’EIA examine également quelles</w:t>
      </w:r>
      <w:r w:rsidR="003321EE">
        <w:t xml:space="preserve"> </w:t>
      </w:r>
      <w:r>
        <w:t>mesures peuvent être adoptées pour limiter ou compenser l’impact sur l’agriculture.</w:t>
      </w:r>
    </w:p>
    <w:p w14:paraId="7CEAD5CF" w14:textId="77777777" w:rsidR="00515BD9" w:rsidRPr="00F16713" w:rsidRDefault="00515BD9" w:rsidP="00515BD9">
      <w:pPr>
        <w:rPr>
          <w:lang w:val="en-US"/>
        </w:rPr>
      </w:pPr>
    </w:p>
    <w:p w14:paraId="1B128969" w14:textId="21F1C424" w:rsidR="003321EE" w:rsidRDefault="00515BD9">
      <w:r>
        <w:t>Une analyse coûts-avantages sociaux (ACAS) sera également effectuée.</w:t>
      </w:r>
      <w:r w:rsidR="003321EE">
        <w:t xml:space="preserve"> </w:t>
      </w:r>
      <w:r>
        <w:t>Elle évalue les coûts de chaque solution possible et les avantages potentiels</w:t>
      </w:r>
      <w:r w:rsidR="003321EE">
        <w:t xml:space="preserve"> </w:t>
      </w:r>
      <w:r>
        <w:t>liés à chaque solution.</w:t>
      </w:r>
    </w:p>
    <w:p w14:paraId="52FE6A4D" w14:textId="77777777" w:rsidR="003321EE" w:rsidRDefault="003321EE"/>
    <w:p w14:paraId="2C19E1C2" w14:textId="77F695C2" w:rsidR="003321EE" w:rsidRDefault="003321EE">
      <w:pPr>
        <w:pBdr>
          <w:bottom w:val="single" w:sz="6" w:space="1" w:color="auto"/>
        </w:pBdr>
      </w:pPr>
    </w:p>
    <w:p w14:paraId="4AD7DCAB" w14:textId="77777777" w:rsidR="003321EE" w:rsidRDefault="003321EE"/>
    <w:p w14:paraId="751D281C" w14:textId="77777777" w:rsidR="003321EE" w:rsidRDefault="003321EE" w:rsidP="00515BD9">
      <w:pPr>
        <w:rPr>
          <w:b/>
          <w:sz w:val="32"/>
        </w:rPr>
      </w:pPr>
    </w:p>
    <w:p w14:paraId="50DC5F11" w14:textId="77777777" w:rsidR="003321EE" w:rsidRDefault="003321EE" w:rsidP="00515BD9">
      <w:pPr>
        <w:rPr>
          <w:b/>
          <w:sz w:val="32"/>
        </w:rPr>
      </w:pPr>
    </w:p>
    <w:p w14:paraId="490A0F17" w14:textId="77777777" w:rsidR="003321EE" w:rsidRDefault="003321EE" w:rsidP="00515BD9">
      <w:pPr>
        <w:rPr>
          <w:b/>
          <w:sz w:val="32"/>
        </w:rPr>
      </w:pPr>
    </w:p>
    <w:p w14:paraId="2A2D82EA" w14:textId="3137E99E" w:rsidR="00515BD9" w:rsidRDefault="00494BDB" w:rsidP="00515BD9">
      <w:pPr>
        <w:rPr>
          <w:b/>
          <w:sz w:val="32"/>
        </w:rPr>
      </w:pPr>
      <w:r>
        <w:rPr>
          <w:b/>
          <w:sz w:val="32"/>
        </w:rPr>
        <w:lastRenderedPageBreak/>
        <w:t>Inscrivez-vous à nos tables de conversation numériques et donnez votre avis</w:t>
      </w:r>
    </w:p>
    <w:p w14:paraId="2F0411AB" w14:textId="77777777" w:rsidR="00494BDB" w:rsidRPr="00F16713" w:rsidRDefault="00494BDB" w:rsidP="00515BD9">
      <w:pPr>
        <w:rPr>
          <w:b/>
          <w:sz w:val="32"/>
          <w:lang w:val="en-US"/>
        </w:rPr>
      </w:pPr>
    </w:p>
    <w:p w14:paraId="4A268B9C" w14:textId="2527B4F6" w:rsidR="00494BDB" w:rsidRDefault="00494BDB" w:rsidP="00494BDB">
      <w:r>
        <w:t>Nous allons dialoguer avec toutes les parties prenantes fin janvier-début février. En raison des mesures adoptées pour lutter contre le coronavirus, nous allons organiser ce dialogue par voie numérique. Nous le ferons par commune, à Kluisbergen, Maarkedal, Renaix et Oudenaarde. Des sessions sur mesure seront organisées pour les agriculteurs.</w:t>
      </w:r>
    </w:p>
    <w:p w14:paraId="7F560ADE" w14:textId="22EBEE1F" w:rsidR="003321EE" w:rsidRDefault="003321EE" w:rsidP="00494BDB"/>
    <w:tbl>
      <w:tblPr>
        <w:tblStyle w:val="Tabelraster"/>
        <w:tblW w:w="0" w:type="auto"/>
        <w:tblLook w:val="04A0" w:firstRow="1" w:lastRow="0" w:firstColumn="1" w:lastColumn="0" w:noHBand="0" w:noVBand="1"/>
      </w:tblPr>
      <w:tblGrid>
        <w:gridCol w:w="9056"/>
      </w:tblGrid>
      <w:tr w:rsidR="003321EE" w14:paraId="47FF1778" w14:textId="77777777" w:rsidTr="003321EE">
        <w:tc>
          <w:tcPr>
            <w:tcW w:w="9056" w:type="dxa"/>
          </w:tcPr>
          <w:p w14:paraId="0EBB7188" w14:textId="0A8C8285" w:rsidR="003321EE" w:rsidRDefault="003321EE" w:rsidP="00494BDB">
            <w:r>
              <w:t>Si vous voulez savoir ce que Rond Ronse peut apporter pour le paysage, la nature, l’agriculture et la mobilité, inscrivez-vous aux tables de conversation numériques de fin janvier-début février via www.RondRonse.be/agenda.</w:t>
            </w:r>
            <w:bookmarkStart w:id="0" w:name="_GoBack"/>
            <w:bookmarkEnd w:id="0"/>
          </w:p>
        </w:tc>
      </w:tr>
    </w:tbl>
    <w:p w14:paraId="501ADE52" w14:textId="77777777" w:rsidR="003321EE" w:rsidRPr="00494BDB" w:rsidRDefault="003321EE" w:rsidP="00494BDB"/>
    <w:sectPr w:rsidR="003321EE" w:rsidRPr="00494BDB" w:rsidSect="001857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6613"/>
    <w:multiLevelType w:val="hybridMultilevel"/>
    <w:tmpl w:val="6A743DB4"/>
    <w:lvl w:ilvl="0" w:tplc="25302B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4F79E9"/>
    <w:multiLevelType w:val="hybridMultilevel"/>
    <w:tmpl w:val="48904456"/>
    <w:lvl w:ilvl="0" w:tplc="32D21E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2D"/>
    <w:rsid w:val="0018570E"/>
    <w:rsid w:val="00205EE1"/>
    <w:rsid w:val="002B6E96"/>
    <w:rsid w:val="003321EE"/>
    <w:rsid w:val="00494BDB"/>
    <w:rsid w:val="00515BD9"/>
    <w:rsid w:val="005723C1"/>
    <w:rsid w:val="005D5B2F"/>
    <w:rsid w:val="006B162D"/>
    <w:rsid w:val="008863C8"/>
    <w:rsid w:val="009A646B"/>
    <w:rsid w:val="00AF6844"/>
    <w:rsid w:val="00B1129D"/>
    <w:rsid w:val="00B855F2"/>
    <w:rsid w:val="00C55219"/>
    <w:rsid w:val="00CB5357"/>
    <w:rsid w:val="00D16D8E"/>
    <w:rsid w:val="00D57DC9"/>
    <w:rsid w:val="00F167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47EE"/>
  <w15:chartTrackingRefBased/>
  <w15:docId w15:val="{79735828-4B0A-6240-B87D-ED0468A8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6844"/>
    <w:pPr>
      <w:ind w:left="720"/>
      <w:contextualSpacing/>
    </w:pPr>
  </w:style>
  <w:style w:type="table" w:styleId="Tabelraster">
    <w:name w:val="Table Grid"/>
    <w:basedOn w:val="Standaardtabel"/>
    <w:uiPriority w:val="39"/>
    <w:rsid w:val="00D5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1480</Words>
  <Characters>8145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Celien Claesen</dc:creator>
  <cp:keywords/>
  <dc:description/>
  <cp:lastModifiedBy>Celien Claesen</cp:lastModifiedBy>
  <cp:revision>7</cp:revision>
  <dcterms:created xsi:type="dcterms:W3CDTF">2021-01-13T11:31:00Z</dcterms:created>
  <dcterms:modified xsi:type="dcterms:W3CDTF">2021-01-13T11:47:00Z</dcterms:modified>
</cp:coreProperties>
</file>